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395a6" w14:textId="07395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monitoring of the state-guaranteed obligation on export support and financial condition of the national company carrying out the functions of export support, which has a state guarantee for export support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First Deputy Prime Minister of the Republic of Kazakhstan – Minister of Finance of the Republic of Kazakhstan dated February 12, 2020 no. 138. Registered with the Ministry of Justice of the Republic of Kazakhstan on February 13, 2020 no. 20033</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article 225-5</w:t>
      </w:r>
      <w:r>
        <w:rPr>
          <w:rFonts w:ascii="Times New Roman"/>
          <w:b w:val="false"/>
          <w:i w:val="false"/>
          <w:color w:val="000000"/>
          <w:sz w:val="28"/>
        </w:rPr>
        <w:t xml:space="preserve"> of the Budget Code of the Republic of Kazakhstan dated December 4, 2008 I HEREBY ORDER:</w:t>
      </w:r>
    </w:p>
    <w:bookmarkEnd w:id="0"/>
    <w:bookmarkStart w:name="z6" w:id="1"/>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Rules</w:t>
      </w:r>
      <w:r>
        <w:rPr>
          <w:rFonts w:ascii="Times New Roman"/>
          <w:b w:val="false"/>
          <w:i w:val="false"/>
          <w:color w:val="000000"/>
          <w:sz w:val="28"/>
        </w:rPr>
        <w:t xml:space="preserve"> for monitoring of the state-guaranteed obligation on export support and financial condition of the national company carrying out the functions of export support, which has a state guarantee for export support.</w:t>
      </w:r>
    </w:p>
    <w:bookmarkEnd w:id="1"/>
    <w:bookmarkStart w:name="z7" w:id="2"/>
    <w:p>
      <w:pPr>
        <w:spacing w:after="0"/>
        <w:ind w:left="0"/>
        <w:jc w:val="both"/>
      </w:pPr>
      <w:r>
        <w:rPr>
          <w:rFonts w:ascii="Times New Roman"/>
          <w:b w:val="false"/>
          <w:i w:val="false"/>
          <w:color w:val="000000"/>
          <w:sz w:val="28"/>
        </w:rPr>
        <w:t>
      2. The Department of State Borrowing of the Ministry of Finance of the Republic of Kazakhstan in accordance with the procedure established by law shall ensure:</w:t>
      </w:r>
    </w:p>
    <w:bookmarkEnd w:id="2"/>
    <w:bookmarkStart w:name="z8"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9" w:id="4"/>
    <w:p>
      <w:pPr>
        <w:spacing w:after="0"/>
        <w:ind w:left="0"/>
        <w:jc w:val="both"/>
      </w:pPr>
      <w:r>
        <w:rPr>
          <w:rFonts w:ascii="Times New Roman"/>
          <w:b w:val="false"/>
          <w:i w:val="false"/>
          <w:color w:val="000000"/>
          <w:sz w:val="28"/>
        </w:rPr>
        <w:t>
      2) placement of this order on the Internet resource of the Ministry of Finance of the Republic of Kazakhstan;</w:t>
      </w:r>
    </w:p>
    <w:bookmarkEnd w:id="4"/>
    <w:bookmarkStart w:name="z10" w:id="5"/>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Department of Legal Service of the Ministry of Finance of the Republic of Kazakhstan of information about execution of measures stipulated by subclauses 1) and 2) of this clause.</w:t>
      </w:r>
    </w:p>
    <w:bookmarkEnd w:id="5"/>
    <w:bookmarkStart w:name="z11" w:id="6"/>
    <w:p>
      <w:pPr>
        <w:spacing w:after="0"/>
        <w:ind w:left="0"/>
        <w:jc w:val="both"/>
      </w:pPr>
      <w:r>
        <w:rPr>
          <w:rFonts w:ascii="Times New Roman"/>
          <w:b w:val="false"/>
          <w:i w:val="false"/>
          <w:color w:val="000000"/>
          <w:sz w:val="28"/>
        </w:rPr>
        <w:t>
      3. This order shall come into force upon expiry of ten calendar days after the date of its first official publication.</w:t>
      </w:r>
    </w:p>
    <w:bookmarkEnd w:id="6"/>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First Deputy Prime Minister</w:t>
            </w:r>
            <w:r>
              <w:br/>
            </w:r>
            <w:r>
              <w:rPr>
                <w:rFonts w:ascii="Times New Roman"/>
                <w:b w:val="false"/>
                <w:i/>
                <w:color w:val="000000"/>
                <w:sz w:val="20"/>
              </w:rPr>
              <w:t xml:space="preserve">of the Republic of Kazakhstan-Minister of Finance </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Smailov</w:t>
            </w:r>
            <w:r>
              <w:rPr>
                <w:rFonts w:ascii="Times New Roman"/>
                <w:b w:val="false"/>
                <w:i w:val="false"/>
                <w:color w:val="000000"/>
                <w:sz w:val="20"/>
              </w:rPr>
              <w:t>
</w:t>
            </w:r>
          </w:p>
        </w:tc>
      </w:tr>
    </w:tbl>
    <w:bookmarkStart w:name="z13" w:id="7"/>
    <w:p>
      <w:pPr>
        <w:spacing w:after="0"/>
        <w:ind w:left="0"/>
        <w:jc w:val="both"/>
      </w:pPr>
      <w:r>
        <w:rPr>
          <w:rFonts w:ascii="Times New Roman"/>
          <w:b w:val="false"/>
          <w:i w:val="false"/>
          <w:color w:val="000000"/>
          <w:sz w:val="28"/>
        </w:rPr>
        <w:t>
      "AGREED"</w:t>
      </w:r>
      <w:r>
        <w:br/>
      </w:r>
      <w:r>
        <w:rPr>
          <w:rFonts w:ascii="Times New Roman"/>
          <w:b w:val="false"/>
          <w:i w:val="false"/>
          <w:color w:val="000000"/>
          <w:sz w:val="28"/>
        </w:rPr>
        <w:t xml:space="preserve">Ministry of Trade and Integration </w:t>
      </w:r>
      <w:r>
        <w:br/>
      </w:r>
      <w:r>
        <w:rPr>
          <w:rFonts w:ascii="Times New Roman"/>
          <w:b w:val="false"/>
          <w:i w:val="false"/>
          <w:color w:val="000000"/>
          <w:sz w:val="28"/>
        </w:rPr>
        <w:t>of the Republic of Kazakhstan</w:t>
      </w:r>
    </w:p>
    <w:bookmarkEnd w:id="7"/>
    <w:bookmarkStart w:name="z14" w:id="8"/>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National Economy</w:t>
      </w:r>
      <w:r>
        <w:br/>
      </w:r>
      <w:r>
        <w:rPr>
          <w:rFonts w:ascii="Times New Roman"/>
          <w:b w:val="false"/>
          <w:i w:val="false"/>
          <w:color w:val="000000"/>
          <w:sz w:val="28"/>
        </w:rPr>
        <w:t>of the Republic of Kazakhstan</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order</w:t>
            </w:r>
            <w:r>
              <w:br/>
            </w:r>
            <w:r>
              <w:rPr>
                <w:rFonts w:ascii="Times New Roman"/>
                <w:b w:val="false"/>
                <w:i w:val="false"/>
                <w:color w:val="000000"/>
                <w:sz w:val="20"/>
              </w:rPr>
              <w:t>of the First Deputy</w:t>
            </w:r>
            <w:r>
              <w:br/>
            </w:r>
            <w:r>
              <w:rPr>
                <w:rFonts w:ascii="Times New Roman"/>
                <w:b w:val="false"/>
                <w:i w:val="false"/>
                <w:color w:val="000000"/>
                <w:sz w:val="20"/>
              </w:rPr>
              <w:t>Prime Minister</w:t>
            </w:r>
            <w:r>
              <w:br/>
            </w:r>
            <w:r>
              <w:rPr>
                <w:rFonts w:ascii="Times New Roman"/>
                <w:b w:val="false"/>
                <w:i w:val="false"/>
                <w:color w:val="000000"/>
                <w:sz w:val="20"/>
              </w:rPr>
              <w:t>of the Republic of Kazakhstan –</w:t>
            </w:r>
            <w:r>
              <w:br/>
            </w:r>
            <w:r>
              <w:rPr>
                <w:rFonts w:ascii="Times New Roman"/>
                <w:b w:val="false"/>
                <w:i w:val="false"/>
                <w:color w:val="000000"/>
                <w:sz w:val="20"/>
              </w:rPr>
              <w:t>Minister of Finance</w:t>
            </w:r>
            <w:r>
              <w:br/>
            </w:r>
            <w:r>
              <w:rPr>
                <w:rFonts w:ascii="Times New Roman"/>
                <w:b w:val="false"/>
                <w:i w:val="false"/>
                <w:color w:val="000000"/>
                <w:sz w:val="20"/>
              </w:rPr>
              <w:t>of the Republic of Kazakhstan</w:t>
            </w:r>
            <w:r>
              <w:br/>
            </w:r>
            <w:r>
              <w:rPr>
                <w:rFonts w:ascii="Times New Roman"/>
                <w:b w:val="false"/>
                <w:i w:val="false"/>
                <w:color w:val="000000"/>
                <w:sz w:val="20"/>
              </w:rPr>
              <w:t>dated February 12, 2020 no. 138</w:t>
            </w:r>
          </w:p>
        </w:tc>
      </w:tr>
    </w:tbl>
    <w:bookmarkStart w:name="z16" w:id="9"/>
    <w:p>
      <w:pPr>
        <w:spacing w:after="0"/>
        <w:ind w:left="0"/>
        <w:jc w:val="left"/>
      </w:pPr>
      <w:r>
        <w:rPr>
          <w:rFonts w:ascii="Times New Roman"/>
          <w:b/>
          <w:i w:val="false"/>
          <w:color w:val="000000"/>
        </w:rPr>
        <w:t xml:space="preserve"> Rules for monitoring of the state-guaranteed obligation on export support and financial condition of the national company carrying out the functions of export support, which has a state guarantee for export support</w:t>
      </w:r>
    </w:p>
    <w:bookmarkEnd w:id="9"/>
    <w:bookmarkStart w:name="z17" w:id="10"/>
    <w:p>
      <w:pPr>
        <w:spacing w:after="0"/>
        <w:ind w:left="0"/>
        <w:jc w:val="left"/>
      </w:pPr>
      <w:r>
        <w:rPr>
          <w:rFonts w:ascii="Times New Roman"/>
          <w:b/>
          <w:i w:val="false"/>
          <w:color w:val="000000"/>
        </w:rPr>
        <w:t xml:space="preserve"> Chapter 1. General Provisions</w:t>
      </w:r>
    </w:p>
    <w:bookmarkEnd w:id="10"/>
    <w:bookmarkStart w:name="z18" w:id="11"/>
    <w:p>
      <w:pPr>
        <w:spacing w:after="0"/>
        <w:ind w:left="0"/>
        <w:jc w:val="both"/>
      </w:pPr>
      <w:r>
        <w:rPr>
          <w:rFonts w:ascii="Times New Roman"/>
          <w:b w:val="false"/>
          <w:i w:val="false"/>
          <w:color w:val="000000"/>
          <w:sz w:val="28"/>
        </w:rPr>
        <w:t xml:space="preserve">
      1. These Rules for monitoring of the state-guaranteed obligation on export support and financial condition of the national company carrying out the functions of export support, which has a state guarantee for export support (hereinafter referred to as the Rules) have been developed in accordance with </w:t>
      </w:r>
      <w:r>
        <w:rPr>
          <w:rFonts w:ascii="Times New Roman"/>
          <w:b w:val="false"/>
          <w:i w:val="false"/>
          <w:color w:val="000000"/>
          <w:sz w:val="28"/>
        </w:rPr>
        <w:t>article 225-5</w:t>
      </w:r>
      <w:r>
        <w:rPr>
          <w:rFonts w:ascii="Times New Roman"/>
          <w:b w:val="false"/>
          <w:i w:val="false"/>
          <w:color w:val="000000"/>
          <w:sz w:val="28"/>
        </w:rPr>
        <w:t xml:space="preserve"> of the Budget Code of the Republic of Kazakhstan dated December 4, 2008 (hereinafter referred to as the Budget Code) and shall determine the procedure for monitoring of the state-guaranteed obligation on export support and financial condition of the national company, carrying out the functions of export support, which has a state guarantee for export support.</w:t>
      </w:r>
    </w:p>
    <w:bookmarkEnd w:id="11"/>
    <w:bookmarkStart w:name="z19" w:id="12"/>
    <w:p>
      <w:pPr>
        <w:spacing w:after="0"/>
        <w:ind w:left="0"/>
        <w:jc w:val="both"/>
      </w:pPr>
      <w:r>
        <w:rPr>
          <w:rFonts w:ascii="Times New Roman"/>
          <w:b w:val="false"/>
          <w:i w:val="false"/>
          <w:color w:val="000000"/>
          <w:sz w:val="28"/>
        </w:rPr>
        <w:t xml:space="preserve">
      The procedure for of the Republic of Kazakhstan for export support is regulated by the </w:t>
      </w:r>
      <w:r>
        <w:rPr>
          <w:rFonts w:ascii="Times New Roman"/>
          <w:b w:val="false"/>
          <w:i w:val="false"/>
          <w:color w:val="000000"/>
          <w:sz w:val="28"/>
        </w:rPr>
        <w:t>Rules</w:t>
      </w:r>
      <w:r>
        <w:rPr>
          <w:rFonts w:ascii="Times New Roman"/>
          <w:b w:val="false"/>
          <w:i w:val="false"/>
          <w:color w:val="000000"/>
          <w:sz w:val="28"/>
        </w:rPr>
        <w:t xml:space="preserve"> for provision of the state guarantee of the Republic of Kazakhstan for export support, approved by the order of the First Deputy Prime Minister of the Republic of Kazakhstan – Minister of Finance of the Republic of Kazakhstan dated July 2, 2019 no. 674 (registered in the Register of State Registration of Regulatory Legal Acts under no.19026).</w:t>
      </w:r>
    </w:p>
    <w:bookmarkEnd w:id="12"/>
    <w:bookmarkStart w:name="z20" w:id="13"/>
    <w:p>
      <w:pPr>
        <w:spacing w:after="0"/>
        <w:ind w:left="0"/>
        <w:jc w:val="both"/>
      </w:pPr>
      <w:r>
        <w:rPr>
          <w:rFonts w:ascii="Times New Roman"/>
          <w:b w:val="false"/>
          <w:i w:val="false"/>
          <w:color w:val="000000"/>
          <w:sz w:val="28"/>
        </w:rPr>
        <w:t>
      2. The following basic concepts shall be used in these Rules:</w:t>
      </w:r>
    </w:p>
    <w:bookmarkEnd w:id="13"/>
    <w:bookmarkStart w:name="z21" w:id="14"/>
    <w:p>
      <w:pPr>
        <w:spacing w:after="0"/>
        <w:ind w:left="0"/>
        <w:jc w:val="both"/>
      </w:pPr>
      <w:r>
        <w:rPr>
          <w:rFonts w:ascii="Times New Roman"/>
          <w:b w:val="false"/>
          <w:i w:val="false"/>
          <w:color w:val="000000"/>
          <w:sz w:val="28"/>
        </w:rPr>
        <w:t>
      1) special loan account – an account, opened by a national company performing the function for export support in a second-tier bank or an organization carrying out certain types of banking operations, authorized to service state-guaranteed obligations for export support and intended to transfer funds from the republican budget in order to fulfill state-guaranteed obligations for export support, and return to the republican budget of funds allocated for the fulfillment of obligations under the State Guarantee;</w:t>
      </w:r>
    </w:p>
    <w:bookmarkEnd w:id="14"/>
    <w:bookmarkStart w:name="z22" w:id="15"/>
    <w:p>
      <w:pPr>
        <w:spacing w:after="0"/>
        <w:ind w:left="0"/>
        <w:jc w:val="both"/>
      </w:pPr>
      <w:r>
        <w:rPr>
          <w:rFonts w:ascii="Times New Roman"/>
          <w:b w:val="false"/>
          <w:i w:val="false"/>
          <w:color w:val="000000"/>
          <w:sz w:val="28"/>
        </w:rPr>
        <w:t xml:space="preserve">
      2) a bank – a legal entity that is a commercial organization, which, in accordance with the </w:t>
      </w:r>
      <w:r>
        <w:rPr>
          <w:rFonts w:ascii="Times New Roman"/>
          <w:b w:val="false"/>
          <w:i w:val="false"/>
          <w:color w:val="000000"/>
          <w:sz w:val="28"/>
        </w:rPr>
        <w:t>Law</w:t>
      </w:r>
      <w:r>
        <w:rPr>
          <w:rFonts w:ascii="Times New Roman"/>
          <w:b w:val="false"/>
          <w:i w:val="false"/>
          <w:color w:val="000000"/>
          <w:sz w:val="28"/>
        </w:rPr>
        <w:t xml:space="preserve"> of the Republic of Kazakhstan dated August 31, 1995 "On Banks and Banking Activities in the Republic of Kazakhstan", is eligible to carry out banking activities;</w:t>
      </w:r>
    </w:p>
    <w:bookmarkEnd w:id="15"/>
    <w:bookmarkStart w:name="z23" w:id="16"/>
    <w:p>
      <w:pPr>
        <w:spacing w:after="0"/>
        <w:ind w:left="0"/>
        <w:jc w:val="both"/>
      </w:pPr>
      <w:r>
        <w:rPr>
          <w:rFonts w:ascii="Times New Roman"/>
          <w:b w:val="false"/>
          <w:i w:val="false"/>
          <w:color w:val="000000"/>
          <w:sz w:val="28"/>
        </w:rPr>
        <w:t>
      3) the central authorized body for budget execution (hereinafter referred to as the authorized body for budget execution) – the central executive body exercising the management and intersectoral coordination in the field of budget execution, accounting, budget accounting and budget reporting on the execution of the republican budget and, within its competence, local budgets, the Victims Compensation Fund, the National Fund of the Republic of Kazakhstan on the basis of the report of the National Bank of the Republic of Kazakhstan;</w:t>
      </w:r>
    </w:p>
    <w:bookmarkEnd w:id="16"/>
    <w:bookmarkStart w:name="z24" w:id="17"/>
    <w:p>
      <w:pPr>
        <w:spacing w:after="0"/>
        <w:ind w:left="0"/>
        <w:jc w:val="both"/>
      </w:pPr>
      <w:r>
        <w:rPr>
          <w:rFonts w:ascii="Times New Roman"/>
          <w:b w:val="false"/>
          <w:i w:val="false"/>
          <w:color w:val="000000"/>
          <w:sz w:val="28"/>
        </w:rPr>
        <w:t xml:space="preserve">
      4) a guarantee contract – a written agreement between the authorized body for budget execution and the national company performing the functions for export support, establishing the legal relationship, obligations and responsibilities of the parties when providing the State Guarantee; </w:t>
      </w:r>
    </w:p>
    <w:bookmarkEnd w:id="17"/>
    <w:bookmarkStart w:name="z25" w:id="18"/>
    <w:p>
      <w:pPr>
        <w:spacing w:after="0"/>
        <w:ind w:left="0"/>
        <w:jc w:val="both"/>
      </w:pPr>
      <w:r>
        <w:rPr>
          <w:rFonts w:ascii="Times New Roman"/>
          <w:b w:val="false"/>
          <w:i w:val="false"/>
          <w:color w:val="000000"/>
          <w:sz w:val="28"/>
        </w:rPr>
        <w:t>
      5) a state (government, sovereign) guarantee of the Republic of Kazakhstan for export support (hereinafter referred to as the State Guarantee) – the obligation of the Government of the Republic of Kazakhstan to the national company performing the functions for export support in accordance with the terms of the guarantee agreement, to fully or partially repay its arrears of insurance payments;</w:t>
      </w:r>
    </w:p>
    <w:bookmarkEnd w:id="18"/>
    <w:bookmarkStart w:name="z26" w:id="19"/>
    <w:p>
      <w:pPr>
        <w:spacing w:after="0"/>
        <w:ind w:left="0"/>
        <w:jc w:val="both"/>
      </w:pPr>
      <w:r>
        <w:rPr>
          <w:rFonts w:ascii="Times New Roman"/>
          <w:b w:val="false"/>
          <w:i w:val="false"/>
          <w:color w:val="000000"/>
          <w:sz w:val="28"/>
        </w:rPr>
        <w:t>
      6) a state guarantee agreement – an agreement between the authorized body for budget execution, an authorized person (agent) and a national company performing the functions for export support, establishing the legal relationship of the parties on provision of a state guarantee, return of funds of the republican budget diverted in the event of fulfillment of obligations under the state guarantee;</w:t>
      </w:r>
    </w:p>
    <w:bookmarkEnd w:id="19"/>
    <w:bookmarkStart w:name="z27" w:id="20"/>
    <w:p>
      <w:pPr>
        <w:spacing w:after="0"/>
        <w:ind w:left="0"/>
        <w:jc w:val="both"/>
      </w:pPr>
      <w:r>
        <w:rPr>
          <w:rFonts w:ascii="Times New Roman"/>
          <w:b w:val="false"/>
          <w:i w:val="false"/>
          <w:color w:val="000000"/>
          <w:sz w:val="28"/>
        </w:rPr>
        <w:t>
      7) an authorized person (agent) – a person who, on the basis of an agreement on the provision of the State Guarantee, ensures the performance of work related to the provided State Guarantee and securing the return of funds diverted from the republican budget in the event of fulfillment of obligations under the State Guarantee;</w:t>
      </w:r>
    </w:p>
    <w:bookmarkEnd w:id="20"/>
    <w:bookmarkStart w:name="z28" w:id="21"/>
    <w:p>
      <w:pPr>
        <w:spacing w:after="0"/>
        <w:ind w:left="0"/>
        <w:jc w:val="both"/>
      </w:pPr>
      <w:r>
        <w:rPr>
          <w:rFonts w:ascii="Times New Roman"/>
          <w:b w:val="false"/>
          <w:i w:val="false"/>
          <w:color w:val="000000"/>
          <w:sz w:val="28"/>
        </w:rPr>
        <w:t>
      8) state-guaranteed obligation on export support – a sum for a certain date of outstanding obligations under insurance contracts, secured by the State Guarantee of the Republic of Kazakhstan for export support, for which the national company performing the functions for export support has not made insurance payments;</w:t>
      </w:r>
    </w:p>
    <w:bookmarkEnd w:id="21"/>
    <w:bookmarkStart w:name="z29" w:id="22"/>
    <w:p>
      <w:pPr>
        <w:spacing w:after="0"/>
        <w:ind w:left="0"/>
        <w:jc w:val="both"/>
      </w:pPr>
      <w:r>
        <w:rPr>
          <w:rFonts w:ascii="Times New Roman"/>
          <w:b w:val="false"/>
          <w:i w:val="false"/>
          <w:color w:val="000000"/>
          <w:sz w:val="28"/>
        </w:rPr>
        <w:t>
      9) a national company, carrying out functions for export support (hereinafter referred to as the Company) – a party to the guarantee contract and state guarantee agreement for export support, receiving the State Guarantee, which bears responsibilities on the return to the republican budget of funds allocated for execution of obligations under the State Guarantee at the expense of reimbursement of insurance payments.</w:t>
      </w:r>
    </w:p>
    <w:bookmarkEnd w:id="22"/>
    <w:bookmarkStart w:name="z30" w:id="23"/>
    <w:p>
      <w:pPr>
        <w:spacing w:after="0"/>
        <w:ind w:left="0"/>
        <w:jc w:val="both"/>
      </w:pPr>
      <w:r>
        <w:rPr>
          <w:rFonts w:ascii="Times New Roman"/>
          <w:b w:val="false"/>
          <w:i w:val="false"/>
          <w:color w:val="000000"/>
          <w:sz w:val="28"/>
        </w:rPr>
        <w:t>
      Other concepts used in these Rules shall apply in the sense in which they are used in the relevant branches of the legislation of the Republic of Kazakhstan, unless otherwise provided by the budgetary legislation of the Republic of Kazakhstan and these Rules.</w:t>
      </w:r>
    </w:p>
    <w:bookmarkEnd w:id="23"/>
    <w:bookmarkStart w:name="z31" w:id="24"/>
    <w:p>
      <w:pPr>
        <w:spacing w:after="0"/>
        <w:ind w:left="0"/>
        <w:jc w:val="left"/>
      </w:pPr>
      <w:r>
        <w:rPr>
          <w:rFonts w:ascii="Times New Roman"/>
          <w:b/>
          <w:i w:val="false"/>
          <w:color w:val="000000"/>
        </w:rPr>
        <w:t xml:space="preserve"> Chapter 2. Procedure for monitoring of the state-guaranteed obligation on export support and financial condition of the national company carrying out the functions of export support, which has a state guarantee for export support</w:t>
      </w:r>
    </w:p>
    <w:bookmarkEnd w:id="24"/>
    <w:bookmarkStart w:name="z32" w:id="25"/>
    <w:p>
      <w:pPr>
        <w:spacing w:after="0"/>
        <w:ind w:left="0"/>
        <w:jc w:val="left"/>
      </w:pPr>
      <w:r>
        <w:rPr>
          <w:rFonts w:ascii="Times New Roman"/>
          <w:b/>
          <w:i w:val="false"/>
          <w:color w:val="000000"/>
        </w:rPr>
        <w:t xml:space="preserve"> Paragraph 1. Procedure for monitoring of the state-guaranteed obligation on export support</w:t>
      </w:r>
    </w:p>
    <w:bookmarkEnd w:id="25"/>
    <w:bookmarkStart w:name="z33" w:id="26"/>
    <w:p>
      <w:pPr>
        <w:spacing w:after="0"/>
        <w:ind w:left="0"/>
        <w:jc w:val="both"/>
      </w:pPr>
      <w:r>
        <w:rPr>
          <w:rFonts w:ascii="Times New Roman"/>
          <w:b w:val="false"/>
          <w:i w:val="false"/>
          <w:color w:val="000000"/>
          <w:sz w:val="28"/>
        </w:rPr>
        <w:t>
      3. This chapter shall determine the procedures for monitoring of the state guaranteed obligation on export support.</w:t>
      </w:r>
    </w:p>
    <w:bookmarkEnd w:id="26"/>
    <w:bookmarkStart w:name="z34" w:id="27"/>
    <w:p>
      <w:pPr>
        <w:spacing w:after="0"/>
        <w:ind w:left="0"/>
        <w:jc w:val="both"/>
      </w:pPr>
      <w:r>
        <w:rPr>
          <w:rFonts w:ascii="Times New Roman"/>
          <w:b w:val="false"/>
          <w:i w:val="false"/>
          <w:color w:val="000000"/>
          <w:sz w:val="28"/>
        </w:rPr>
        <w:t>
      4. The object of the monitoring shall be the obligations under the insurance contracts, secured by the State Guarantee.</w:t>
      </w:r>
    </w:p>
    <w:bookmarkEnd w:id="27"/>
    <w:bookmarkStart w:name="z35" w:id="28"/>
    <w:p>
      <w:pPr>
        <w:spacing w:after="0"/>
        <w:ind w:left="0"/>
        <w:jc w:val="both"/>
      </w:pPr>
      <w:r>
        <w:rPr>
          <w:rFonts w:ascii="Times New Roman"/>
          <w:b w:val="false"/>
          <w:i w:val="false"/>
          <w:color w:val="000000"/>
          <w:sz w:val="28"/>
        </w:rPr>
        <w:t xml:space="preserve">
      5. Monitoring of the state-guaranteed obligation on export support consists in tracking the volume of obligations under insurance contracts secured by the State Guarantee on the basis of the provision by the authorized person (agent) of monthly information about the status of the volume of assumed insurance obligations secured by the State Guarantee, according to </w:t>
      </w:r>
      <w:r>
        <w:rPr>
          <w:rFonts w:ascii="Times New Roman"/>
          <w:b w:val="false"/>
          <w:i w:val="false"/>
          <w:color w:val="000000"/>
          <w:sz w:val="28"/>
        </w:rPr>
        <w:t>Appendix 1</w:t>
      </w:r>
      <w:r>
        <w:rPr>
          <w:rFonts w:ascii="Times New Roman"/>
          <w:b w:val="false"/>
          <w:i w:val="false"/>
          <w:color w:val="000000"/>
          <w:sz w:val="28"/>
        </w:rPr>
        <w:t xml:space="preserve"> to these Rules.</w:t>
      </w:r>
    </w:p>
    <w:bookmarkEnd w:id="28"/>
    <w:bookmarkStart w:name="z36" w:id="29"/>
    <w:p>
      <w:pPr>
        <w:spacing w:after="0"/>
        <w:ind w:left="0"/>
        <w:jc w:val="both"/>
      </w:pPr>
      <w:r>
        <w:rPr>
          <w:rFonts w:ascii="Times New Roman"/>
          <w:b w:val="false"/>
          <w:i w:val="false"/>
          <w:color w:val="000000"/>
          <w:sz w:val="28"/>
        </w:rPr>
        <w:t xml:space="preserve">
      The data of the authorized person (agent) are formed on the basis of this clause and information about the condition of the volume of accepted insurance obligations, according to </w:t>
      </w:r>
      <w:r>
        <w:rPr>
          <w:rFonts w:ascii="Times New Roman"/>
          <w:b w:val="false"/>
          <w:i w:val="false"/>
          <w:color w:val="000000"/>
          <w:sz w:val="28"/>
        </w:rPr>
        <w:t>Appendix 2</w:t>
      </w:r>
      <w:r>
        <w:rPr>
          <w:rFonts w:ascii="Times New Roman"/>
          <w:b w:val="false"/>
          <w:i w:val="false"/>
          <w:color w:val="000000"/>
          <w:sz w:val="28"/>
        </w:rPr>
        <w:t xml:space="preserve"> to these Rules.</w:t>
      </w:r>
    </w:p>
    <w:bookmarkEnd w:id="29"/>
    <w:bookmarkStart w:name="z37" w:id="30"/>
    <w:p>
      <w:pPr>
        <w:spacing w:after="0"/>
        <w:ind w:left="0"/>
        <w:jc w:val="both"/>
      </w:pPr>
      <w:r>
        <w:rPr>
          <w:rFonts w:ascii="Times New Roman"/>
          <w:b w:val="false"/>
          <w:i w:val="false"/>
          <w:color w:val="000000"/>
          <w:sz w:val="28"/>
        </w:rPr>
        <w:t>
      By results of the monitoring the authorized body for budget execution shall provide the information about the condition of the state-guaranteed obligation on export support to the Government of the Republic of Kazakhstan on a quarterly basis by the 30th (thirtieth) day of the month following the reporting quarter.</w:t>
      </w:r>
    </w:p>
    <w:bookmarkEnd w:id="30"/>
    <w:bookmarkStart w:name="z38" w:id="31"/>
    <w:p>
      <w:pPr>
        <w:spacing w:after="0"/>
        <w:ind w:left="0"/>
        <w:jc w:val="left"/>
      </w:pPr>
      <w:r>
        <w:rPr>
          <w:rFonts w:ascii="Times New Roman"/>
          <w:b/>
          <w:i w:val="false"/>
          <w:color w:val="000000"/>
        </w:rPr>
        <w:t xml:space="preserve"> Paragraph 2. Procedure for the monitoring of the financial condition of the Company, which has the State Guarantee</w:t>
      </w:r>
    </w:p>
    <w:bookmarkEnd w:id="31"/>
    <w:bookmarkStart w:name="z39" w:id="32"/>
    <w:p>
      <w:pPr>
        <w:spacing w:after="0"/>
        <w:ind w:left="0"/>
        <w:jc w:val="both"/>
      </w:pPr>
      <w:r>
        <w:rPr>
          <w:rFonts w:ascii="Times New Roman"/>
          <w:b w:val="false"/>
          <w:i w:val="false"/>
          <w:color w:val="000000"/>
          <w:sz w:val="28"/>
        </w:rPr>
        <w:t>
      6. This chapter shall determine the procedures for the monitoring of the financial condition of the Company, which has the State Guarantee.</w:t>
      </w:r>
    </w:p>
    <w:bookmarkEnd w:id="32"/>
    <w:bookmarkStart w:name="z40" w:id="33"/>
    <w:p>
      <w:pPr>
        <w:spacing w:after="0"/>
        <w:ind w:left="0"/>
        <w:jc w:val="both"/>
      </w:pPr>
      <w:r>
        <w:rPr>
          <w:rFonts w:ascii="Times New Roman"/>
          <w:b w:val="false"/>
          <w:i w:val="false"/>
          <w:color w:val="000000"/>
          <w:sz w:val="28"/>
        </w:rPr>
        <w:t xml:space="preserve">
      7. The financial ratios shall be calculated by the authorized person (agent) on the basis of the financial statements of the Company, which has the State Guarantee. </w:t>
      </w:r>
    </w:p>
    <w:bookmarkEnd w:id="33"/>
    <w:bookmarkStart w:name="z41" w:id="34"/>
    <w:p>
      <w:pPr>
        <w:spacing w:after="0"/>
        <w:ind w:left="0"/>
        <w:jc w:val="both"/>
      </w:pPr>
      <w:r>
        <w:rPr>
          <w:rFonts w:ascii="Times New Roman"/>
          <w:b w:val="false"/>
          <w:i w:val="false"/>
          <w:color w:val="000000"/>
          <w:sz w:val="28"/>
        </w:rPr>
        <w:t xml:space="preserve">
      8. The financial condition of the Company is monitored on the basis of the annual audited financial statements. </w:t>
      </w:r>
    </w:p>
    <w:bookmarkEnd w:id="34"/>
    <w:bookmarkStart w:name="z42" w:id="35"/>
    <w:p>
      <w:pPr>
        <w:spacing w:after="0"/>
        <w:ind w:left="0"/>
        <w:jc w:val="both"/>
      </w:pPr>
      <w:r>
        <w:rPr>
          <w:rFonts w:ascii="Times New Roman"/>
          <w:b w:val="false"/>
          <w:i w:val="false"/>
          <w:color w:val="000000"/>
          <w:sz w:val="28"/>
        </w:rPr>
        <w:t xml:space="preserve">
      9. Analysis of the financial condition of the Company includes a quarterly analysis of the financial condition and analysis of the financial condition based on the results of the year. The financial analysis consists of an analysis of the baseline (information about the management of the legal entity, types of activities, industry and regulatory environment) and financial information (analysis of financial statements). </w:t>
      </w:r>
    </w:p>
    <w:bookmarkEnd w:id="35"/>
    <w:bookmarkStart w:name="z43" w:id="36"/>
    <w:p>
      <w:pPr>
        <w:spacing w:after="0"/>
        <w:ind w:left="0"/>
        <w:jc w:val="both"/>
      </w:pPr>
      <w:r>
        <w:rPr>
          <w:rFonts w:ascii="Times New Roman"/>
          <w:b w:val="false"/>
          <w:i w:val="false"/>
          <w:color w:val="000000"/>
          <w:sz w:val="28"/>
        </w:rPr>
        <w:t>
      When monitoring, the following financial ratios shall apply:</w:t>
      </w:r>
    </w:p>
    <w:bookmarkEnd w:id="36"/>
    <w:bookmarkStart w:name="z44" w:id="37"/>
    <w:p>
      <w:pPr>
        <w:spacing w:after="0"/>
        <w:ind w:left="0"/>
        <w:jc w:val="both"/>
      </w:pPr>
      <w:r>
        <w:rPr>
          <w:rFonts w:ascii="Times New Roman"/>
          <w:b w:val="false"/>
          <w:i w:val="false"/>
          <w:color w:val="000000"/>
          <w:sz w:val="28"/>
        </w:rPr>
        <w:t>
      liquidity ratio – the ratio of cash and short-term receivables to the amount of short-term liabilities;</w:t>
      </w:r>
    </w:p>
    <w:bookmarkEnd w:id="37"/>
    <w:bookmarkStart w:name="z45" w:id="38"/>
    <w:p>
      <w:pPr>
        <w:spacing w:after="0"/>
        <w:ind w:left="0"/>
        <w:jc w:val="both"/>
      </w:pPr>
      <w:r>
        <w:rPr>
          <w:rFonts w:ascii="Times New Roman"/>
          <w:b w:val="false"/>
          <w:i w:val="false"/>
          <w:color w:val="000000"/>
          <w:sz w:val="28"/>
        </w:rPr>
        <w:t>
      current ratio – the ratio of current assets to short-term liabilities;</w:t>
      </w:r>
    </w:p>
    <w:bookmarkEnd w:id="38"/>
    <w:bookmarkStart w:name="z46" w:id="39"/>
    <w:p>
      <w:pPr>
        <w:spacing w:after="0"/>
        <w:ind w:left="0"/>
        <w:jc w:val="both"/>
      </w:pPr>
      <w:r>
        <w:rPr>
          <w:rFonts w:ascii="Times New Roman"/>
          <w:b w:val="false"/>
          <w:i w:val="false"/>
          <w:color w:val="000000"/>
          <w:sz w:val="28"/>
        </w:rPr>
        <w:t>
      debt to equity ratio – the ratio of current liabilities to equity;</w:t>
      </w:r>
    </w:p>
    <w:bookmarkEnd w:id="39"/>
    <w:bookmarkStart w:name="z47" w:id="40"/>
    <w:p>
      <w:pPr>
        <w:spacing w:after="0"/>
        <w:ind w:left="0"/>
        <w:jc w:val="both"/>
      </w:pPr>
      <w:r>
        <w:rPr>
          <w:rFonts w:ascii="Times New Roman"/>
          <w:b w:val="false"/>
          <w:i w:val="false"/>
          <w:color w:val="000000"/>
          <w:sz w:val="28"/>
        </w:rPr>
        <w:t>
      mobilisation ratio – the ratio of liabilities to the amount of current and long-term assets;</w:t>
      </w:r>
    </w:p>
    <w:bookmarkEnd w:id="40"/>
    <w:bookmarkStart w:name="z48" w:id="41"/>
    <w:p>
      <w:pPr>
        <w:spacing w:after="0"/>
        <w:ind w:left="0"/>
        <w:jc w:val="both"/>
      </w:pPr>
      <w:r>
        <w:rPr>
          <w:rFonts w:ascii="Times New Roman"/>
          <w:b w:val="false"/>
          <w:i w:val="false"/>
          <w:color w:val="000000"/>
          <w:sz w:val="28"/>
        </w:rPr>
        <w:t>
      return on equity ratio – the ratio of total income before tax to equity.</w:t>
      </w:r>
    </w:p>
    <w:bookmarkEnd w:id="41"/>
    <w:bookmarkStart w:name="z49" w:id="42"/>
    <w:p>
      <w:pPr>
        <w:spacing w:after="0"/>
        <w:ind w:left="0"/>
        <w:jc w:val="both"/>
      </w:pPr>
      <w:r>
        <w:rPr>
          <w:rFonts w:ascii="Times New Roman"/>
          <w:b w:val="false"/>
          <w:i w:val="false"/>
          <w:color w:val="000000"/>
          <w:sz w:val="28"/>
        </w:rPr>
        <w:t>
      10. The authorized person (agent) carries out the monitoring of the financial condition of the Company by comparing the financial ratios determined on the basis of the provided indicators and the generally accepted norms of these ratios.</w:t>
      </w:r>
    </w:p>
    <w:bookmarkEnd w:id="42"/>
    <w:bookmarkStart w:name="z50" w:id="43"/>
    <w:p>
      <w:pPr>
        <w:spacing w:after="0"/>
        <w:ind w:left="0"/>
        <w:jc w:val="both"/>
      </w:pPr>
      <w:r>
        <w:rPr>
          <w:rFonts w:ascii="Times New Roman"/>
          <w:b w:val="false"/>
          <w:i w:val="false"/>
          <w:color w:val="000000"/>
          <w:sz w:val="28"/>
        </w:rPr>
        <w:t>
      11. The authorized person (agent) submits the results of the analysis to the authorized body for budget execution on a quarterly basis by the 25th (twenty-fifth) day of the second month following the reporting one, as well as on an annual basis by 1 July, the results of monitoring the financial condition of the Company.</w:t>
      </w:r>
    </w:p>
    <w:bookmarkEnd w:id="43"/>
    <w:bookmarkStart w:name="z51" w:id="44"/>
    <w:p>
      <w:pPr>
        <w:spacing w:after="0"/>
        <w:ind w:left="0"/>
        <w:jc w:val="both"/>
      </w:pPr>
      <w:r>
        <w:rPr>
          <w:rFonts w:ascii="Times New Roman"/>
          <w:b w:val="false"/>
          <w:i w:val="false"/>
          <w:color w:val="000000"/>
          <w:sz w:val="28"/>
        </w:rPr>
        <w:t>
      12. In the event that the Company's potential insolvency is determined, the authorized body for budget execution shall notify the Government of the Republic of Kazakhstan and shall make a proposal for measures to prevent the diversion of funds of the republican budget provided for the repayment of arrears of insurance payments.</w:t>
      </w:r>
    </w:p>
    <w:bookmarkEnd w:id="44"/>
    <w:bookmarkStart w:name="z52" w:id="45"/>
    <w:p>
      <w:pPr>
        <w:spacing w:after="0"/>
        <w:ind w:left="0"/>
        <w:jc w:val="both"/>
      </w:pPr>
      <w:r>
        <w:rPr>
          <w:rFonts w:ascii="Times New Roman"/>
          <w:b w:val="false"/>
          <w:i w:val="false"/>
          <w:color w:val="000000"/>
          <w:sz w:val="28"/>
        </w:rPr>
        <w:t>
      13. If necessary, the authorized body for budget execution requests from the Company additional information on financial indicators.</w:t>
      </w:r>
    </w:p>
    <w:bookmarkEnd w:id="45"/>
    <w:bookmarkStart w:name="z53" w:id="46"/>
    <w:p>
      <w:pPr>
        <w:spacing w:after="0"/>
        <w:ind w:left="0"/>
        <w:jc w:val="left"/>
      </w:pPr>
      <w:r>
        <w:rPr>
          <w:rFonts w:ascii="Times New Roman"/>
          <w:b/>
          <w:i w:val="false"/>
          <w:color w:val="000000"/>
        </w:rPr>
        <w:t xml:space="preserve"> Paragraph 3. Basic functions, performed by the participants of the process of the monitoring of state-guaranteed obligation on export support and financial condition of the national company, carrying out the functions of export support, which has the State Guarantee</w:t>
      </w:r>
    </w:p>
    <w:bookmarkEnd w:id="46"/>
    <w:bookmarkStart w:name="z54" w:id="47"/>
    <w:p>
      <w:pPr>
        <w:spacing w:after="0"/>
        <w:ind w:left="0"/>
        <w:jc w:val="both"/>
      </w:pPr>
      <w:r>
        <w:rPr>
          <w:rFonts w:ascii="Times New Roman"/>
          <w:b w:val="false"/>
          <w:i w:val="false"/>
          <w:color w:val="000000"/>
          <w:sz w:val="28"/>
        </w:rPr>
        <w:t>
      14. The authorized body for budget execution, the authorized person (agent) and the Company are participants in the monitoring process, the state-guaranteed obligation on export support and the financial condition of the national company performing the functions of export support, which has a state guarantee for export support, and carry out the following:</w:t>
      </w:r>
    </w:p>
    <w:bookmarkEnd w:id="47"/>
    <w:bookmarkStart w:name="z55" w:id="48"/>
    <w:p>
      <w:pPr>
        <w:spacing w:after="0"/>
        <w:ind w:left="0"/>
        <w:jc w:val="both"/>
      </w:pPr>
      <w:r>
        <w:rPr>
          <w:rFonts w:ascii="Times New Roman"/>
          <w:b w:val="false"/>
          <w:i w:val="false"/>
          <w:color w:val="000000"/>
          <w:sz w:val="28"/>
        </w:rPr>
        <w:t xml:space="preserve">
      1) The Company shall: </w:t>
      </w:r>
    </w:p>
    <w:bookmarkEnd w:id="48"/>
    <w:bookmarkStart w:name="z56" w:id="49"/>
    <w:p>
      <w:pPr>
        <w:spacing w:after="0"/>
        <w:ind w:left="0"/>
        <w:jc w:val="both"/>
      </w:pPr>
      <w:r>
        <w:rPr>
          <w:rFonts w:ascii="Times New Roman"/>
          <w:b w:val="false"/>
          <w:i w:val="false"/>
          <w:color w:val="000000"/>
          <w:sz w:val="28"/>
        </w:rPr>
        <w:t>
      Ensure the submission of necessary documentation and information, requested by the participant of the process of provision of the state guarantee and according to the requirements of these Rules;</w:t>
      </w:r>
    </w:p>
    <w:bookmarkEnd w:id="49"/>
    <w:bookmarkStart w:name="z57" w:id="50"/>
    <w:p>
      <w:pPr>
        <w:spacing w:after="0"/>
        <w:ind w:left="0"/>
        <w:jc w:val="both"/>
      </w:pPr>
      <w:r>
        <w:rPr>
          <w:rFonts w:ascii="Times New Roman"/>
          <w:b w:val="false"/>
          <w:i w:val="false"/>
          <w:color w:val="000000"/>
          <w:sz w:val="28"/>
        </w:rPr>
        <w:t>
      on monthly basis, provide the authorized person (agent) with financial statements in standard forms (balance sheet and profit and loss statement) with an accrued total and other necessary documents that determine the financial condition of the Company upon written request of the authorized person (agent);</w:t>
      </w:r>
    </w:p>
    <w:bookmarkEnd w:id="50"/>
    <w:bookmarkStart w:name="z58" w:id="51"/>
    <w:p>
      <w:pPr>
        <w:spacing w:after="0"/>
        <w:ind w:left="0"/>
        <w:jc w:val="both"/>
      </w:pPr>
      <w:r>
        <w:rPr>
          <w:rFonts w:ascii="Times New Roman"/>
          <w:b w:val="false"/>
          <w:i w:val="false"/>
          <w:color w:val="000000"/>
          <w:sz w:val="28"/>
        </w:rPr>
        <w:t>
      no later than the 25th (twenty-fifth) day following the reporting one on a quarterly basis, provide the authorized person (agent) with financial statements in standard forms (balance sheet, profit and loss statement, cash flow statement, explanatory note) with an accrual total and other documents determining the financial condition of the Company upon written request of the authorized person (agent);</w:t>
      </w:r>
    </w:p>
    <w:bookmarkEnd w:id="51"/>
    <w:bookmarkStart w:name="z59" w:id="52"/>
    <w:p>
      <w:pPr>
        <w:spacing w:after="0"/>
        <w:ind w:left="0"/>
        <w:jc w:val="both"/>
      </w:pPr>
      <w:r>
        <w:rPr>
          <w:rFonts w:ascii="Times New Roman"/>
          <w:b w:val="false"/>
          <w:i w:val="false"/>
          <w:color w:val="000000"/>
          <w:sz w:val="28"/>
        </w:rPr>
        <w:t>
      no later than May 31 (thirty-first) following the reporting period, provide the authorized person (agent) with audited financial statements in standard forms (balance sheet, profit and loss statement, cash flow statement, explanatory note for the financial year);</w:t>
      </w:r>
    </w:p>
    <w:bookmarkEnd w:id="52"/>
    <w:bookmarkStart w:name="z60" w:id="53"/>
    <w:p>
      <w:pPr>
        <w:spacing w:after="0"/>
        <w:ind w:left="0"/>
        <w:jc w:val="both"/>
      </w:pPr>
      <w:r>
        <w:rPr>
          <w:rFonts w:ascii="Times New Roman"/>
          <w:b w:val="false"/>
          <w:i w:val="false"/>
          <w:color w:val="000000"/>
          <w:sz w:val="28"/>
        </w:rPr>
        <w:t>
      inform the authorized person (agent) about the facts and reasons of failure to perform its obligations under the insurance contracts, which may lead to execution of the State Guarantee;</w:t>
      </w:r>
    </w:p>
    <w:bookmarkEnd w:id="53"/>
    <w:bookmarkStart w:name="z61" w:id="54"/>
    <w:p>
      <w:pPr>
        <w:spacing w:after="0"/>
        <w:ind w:left="0"/>
        <w:jc w:val="both"/>
      </w:pPr>
      <w:r>
        <w:rPr>
          <w:rFonts w:ascii="Times New Roman"/>
          <w:b w:val="false"/>
          <w:i w:val="false"/>
          <w:color w:val="000000"/>
          <w:sz w:val="28"/>
        </w:rPr>
        <w:t>
      ensure the return of the diverted funds for the execution of the State Guarantee by transferring to a special loan account;</w:t>
      </w:r>
    </w:p>
    <w:bookmarkEnd w:id="54"/>
    <w:bookmarkStart w:name="z62" w:id="55"/>
    <w:p>
      <w:pPr>
        <w:spacing w:after="0"/>
        <w:ind w:left="0"/>
        <w:jc w:val="both"/>
      </w:pPr>
      <w:r>
        <w:rPr>
          <w:rFonts w:ascii="Times New Roman"/>
          <w:b w:val="false"/>
          <w:i w:val="false"/>
          <w:color w:val="000000"/>
          <w:sz w:val="28"/>
        </w:rPr>
        <w:t>
      2) The authorized body for budget execution shall:</w:t>
      </w:r>
    </w:p>
    <w:bookmarkEnd w:id="55"/>
    <w:bookmarkStart w:name="z63" w:id="56"/>
    <w:p>
      <w:pPr>
        <w:spacing w:after="0"/>
        <w:ind w:left="0"/>
        <w:jc w:val="both"/>
      </w:pPr>
      <w:r>
        <w:rPr>
          <w:rFonts w:ascii="Times New Roman"/>
          <w:b w:val="false"/>
          <w:i w:val="false"/>
          <w:color w:val="000000"/>
          <w:sz w:val="28"/>
        </w:rPr>
        <w:t>
      Carry out the monitoring of the state-guaranteed obligation on export support in accordance with the procedure, determined by these Rules;</w:t>
      </w:r>
    </w:p>
    <w:bookmarkEnd w:id="56"/>
    <w:bookmarkStart w:name="z64" w:id="57"/>
    <w:p>
      <w:pPr>
        <w:spacing w:after="0"/>
        <w:ind w:left="0"/>
        <w:jc w:val="both"/>
      </w:pPr>
      <w:r>
        <w:rPr>
          <w:rFonts w:ascii="Times New Roman"/>
          <w:b w:val="false"/>
          <w:i w:val="false"/>
          <w:color w:val="000000"/>
          <w:sz w:val="28"/>
        </w:rPr>
        <w:t>
      3) the authorized person (agent) shall:</w:t>
      </w:r>
    </w:p>
    <w:bookmarkEnd w:id="57"/>
    <w:bookmarkStart w:name="z65" w:id="58"/>
    <w:p>
      <w:pPr>
        <w:spacing w:after="0"/>
        <w:ind w:left="0"/>
        <w:jc w:val="both"/>
      </w:pPr>
      <w:r>
        <w:rPr>
          <w:rFonts w:ascii="Times New Roman"/>
          <w:b w:val="false"/>
          <w:i w:val="false"/>
          <w:color w:val="000000"/>
          <w:sz w:val="28"/>
        </w:rPr>
        <w:t>
      monitor the financial condition of the Company, which has the State Guarantee;</w:t>
      </w:r>
    </w:p>
    <w:bookmarkEnd w:id="58"/>
    <w:bookmarkStart w:name="z66" w:id="59"/>
    <w:p>
      <w:pPr>
        <w:spacing w:after="0"/>
        <w:ind w:left="0"/>
        <w:jc w:val="both"/>
      </w:pPr>
      <w:r>
        <w:rPr>
          <w:rFonts w:ascii="Times New Roman"/>
          <w:b w:val="false"/>
          <w:i w:val="false"/>
          <w:color w:val="000000"/>
          <w:sz w:val="28"/>
        </w:rPr>
        <w:t>
      monitor the use of funds of the republican budget diversified for the execution of the State Guarantee and their return according to the terms and conditions of the State Guarantee Agreement;</w:t>
      </w:r>
    </w:p>
    <w:bookmarkEnd w:id="59"/>
    <w:bookmarkStart w:name="z67" w:id="60"/>
    <w:p>
      <w:pPr>
        <w:spacing w:after="0"/>
        <w:ind w:left="0"/>
        <w:jc w:val="both"/>
      </w:pPr>
      <w:r>
        <w:rPr>
          <w:rFonts w:ascii="Times New Roman"/>
          <w:b w:val="false"/>
          <w:i w:val="false"/>
          <w:color w:val="000000"/>
          <w:sz w:val="28"/>
        </w:rPr>
        <w:t>
      analyze the financial and economic condition of the Company and shall provide information on the results of the relevant analysis to the authorized body for budget execution;</w:t>
      </w:r>
    </w:p>
    <w:bookmarkEnd w:id="60"/>
    <w:bookmarkStart w:name="z68" w:id="61"/>
    <w:p>
      <w:pPr>
        <w:spacing w:after="0"/>
        <w:ind w:left="0"/>
        <w:jc w:val="both"/>
      </w:pPr>
      <w:r>
        <w:rPr>
          <w:rFonts w:ascii="Times New Roman"/>
          <w:b w:val="false"/>
          <w:i w:val="false"/>
          <w:color w:val="000000"/>
          <w:sz w:val="28"/>
        </w:rPr>
        <w:t>
      on the basis of an agreement on the provision of a state guarantee for export support, ensure the performance of other work related to the provision and execution of the State guarantee.</w:t>
      </w:r>
    </w:p>
    <w:bookmarkEnd w:id="61"/>
    <w:bookmarkStart w:name="z69" w:id="62"/>
    <w:p>
      <w:pPr>
        <w:spacing w:after="0"/>
        <w:ind w:left="0"/>
        <w:jc w:val="both"/>
      </w:pPr>
      <w:r>
        <w:rPr>
          <w:rFonts w:ascii="Times New Roman"/>
          <w:b w:val="false"/>
          <w:i w:val="false"/>
          <w:color w:val="000000"/>
          <w:sz w:val="28"/>
        </w:rPr>
        <w:t xml:space="preserve">
      15. Payment to the authorized person (agent) for provision of services stipulated by subclause 3) of </w:t>
      </w:r>
      <w:r>
        <w:rPr>
          <w:rFonts w:ascii="Times New Roman"/>
          <w:b w:val="false"/>
          <w:i w:val="false"/>
          <w:color w:val="000000"/>
          <w:sz w:val="28"/>
        </w:rPr>
        <w:t>clause 14</w:t>
      </w:r>
      <w:r>
        <w:rPr>
          <w:rFonts w:ascii="Times New Roman"/>
          <w:b w:val="false"/>
          <w:i w:val="false"/>
          <w:color w:val="000000"/>
          <w:sz w:val="28"/>
        </w:rPr>
        <w:t xml:space="preserve"> of these Rules shall be carried out in accordance with the agreement on the provision of a state guarantee for export support by the Company at own expenses based on the authorized person (agent) service payment agreement according to his/her rates, concluded between the Company and the authorized person (agent).</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Rules for monitoring of the </w:t>
            </w:r>
            <w:r>
              <w:br/>
            </w:r>
            <w:r>
              <w:rPr>
                <w:rFonts w:ascii="Times New Roman"/>
                <w:b w:val="false"/>
                <w:i w:val="false"/>
                <w:color w:val="000000"/>
                <w:sz w:val="20"/>
              </w:rPr>
              <w:t xml:space="preserve">state-guaranteed obligation on </w:t>
            </w:r>
            <w:r>
              <w:br/>
            </w:r>
            <w:r>
              <w:rPr>
                <w:rFonts w:ascii="Times New Roman"/>
                <w:b w:val="false"/>
                <w:i w:val="false"/>
                <w:color w:val="000000"/>
                <w:sz w:val="20"/>
              </w:rPr>
              <w:t xml:space="preserve">export support and financial </w:t>
            </w:r>
            <w:r>
              <w:br/>
            </w:r>
            <w:r>
              <w:rPr>
                <w:rFonts w:ascii="Times New Roman"/>
                <w:b w:val="false"/>
                <w:i w:val="false"/>
                <w:color w:val="000000"/>
                <w:sz w:val="20"/>
              </w:rPr>
              <w:t xml:space="preserve">condition of the national company </w:t>
            </w:r>
            <w:r>
              <w:br/>
            </w:r>
            <w:r>
              <w:rPr>
                <w:rFonts w:ascii="Times New Roman"/>
                <w:b w:val="false"/>
                <w:i w:val="false"/>
                <w:color w:val="000000"/>
                <w:sz w:val="20"/>
              </w:rPr>
              <w:t xml:space="preserve">carrying out the functions of </w:t>
            </w:r>
            <w:r>
              <w:br/>
            </w:r>
            <w:r>
              <w:rPr>
                <w:rFonts w:ascii="Times New Roman"/>
                <w:b w:val="false"/>
                <w:i w:val="false"/>
                <w:color w:val="000000"/>
                <w:sz w:val="20"/>
              </w:rPr>
              <w:t xml:space="preserve">export support, which has a state </w:t>
            </w:r>
            <w:r>
              <w:br/>
            </w:r>
            <w:r>
              <w:rPr>
                <w:rFonts w:ascii="Times New Roman"/>
                <w:b w:val="false"/>
                <w:i w:val="false"/>
                <w:color w:val="000000"/>
                <w:sz w:val="20"/>
              </w:rPr>
              <w:t>guarantee for export support</w:t>
            </w:r>
          </w:p>
        </w:tc>
      </w:tr>
    </w:tbl>
    <w:bookmarkStart w:name="z71" w:id="63"/>
    <w:p>
      <w:pPr>
        <w:spacing w:after="0"/>
        <w:ind w:left="0"/>
        <w:jc w:val="left"/>
      </w:pPr>
      <w:r>
        <w:rPr>
          <w:rFonts w:ascii="Times New Roman"/>
          <w:b/>
          <w:i w:val="false"/>
          <w:color w:val="000000"/>
        </w:rPr>
        <w:t xml:space="preserve"> Information about the condition of the volume of accepted insurance obligations, secured by the State Guarantee</w:t>
      </w:r>
    </w:p>
    <w:bookmarkEnd w:id="63"/>
    <w:bookmarkStart w:name="z72" w:id="64"/>
    <w:p>
      <w:pPr>
        <w:spacing w:after="0"/>
        <w:ind w:left="0"/>
        <w:jc w:val="both"/>
      </w:pPr>
      <w:r>
        <w:rPr>
          <w:rFonts w:ascii="Times New Roman"/>
          <w:b w:val="false"/>
          <w:i w:val="false"/>
          <w:color w:val="000000"/>
          <w:sz w:val="28"/>
        </w:rPr>
        <w:t>
      Periodicity: monthly</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thousand tenge</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2126"/>
        <w:gridCol w:w="2971"/>
        <w:gridCol w:w="1294"/>
        <w:gridCol w:w="1338"/>
        <w:gridCol w:w="4263"/>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obligations as of the beginning of the reporting period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Changes in the reporting period</w:t>
            </w:r>
          </w:p>
        </w:tc>
        <w:tc>
          <w:tcPr>
            <w:tcW w:w="4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obligations as of the end of the reporting period (column 6 = column 3 + column 4 – column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Accepted obligations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Terminated obligations</w:t>
            </w:r>
          </w:p>
        </w:tc>
        <w:tc>
          <w:tcPr>
            <w:tcW w:w="0" w:type="auto"/>
            <w:vMerge/>
            <w:tcBorders>
              <w:top w:val="nil"/>
              <w:left w:val="single" w:color="cfcfcf" w:sz="5"/>
              <w:bottom w:val="single" w:color="cfcfcf" w:sz="5"/>
              <w:right w:val="single" w:color="cfcfcf" w:sz="5"/>
            </w:tcBorders>
          </w:tcP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in the national currency</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in the foreign currency, including:</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Russian rubles</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US dollars</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Euro</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65"/>
    <w:p>
      <w:pPr>
        <w:spacing w:after="0"/>
        <w:ind w:left="0"/>
        <w:jc w:val="both"/>
      </w:pPr>
      <w:r>
        <w:rPr>
          <w:rFonts w:ascii="Times New Roman"/>
          <w:b w:val="false"/>
          <w:i w:val="false"/>
          <w:color w:val="000000"/>
          <w:sz w:val="28"/>
        </w:rPr>
        <w:t>
      Equity at the end of the reporting period – _______ thousand tenge</w:t>
      </w:r>
    </w:p>
    <w:bookmarkEnd w:id="65"/>
    <w:bookmarkStart w:name="z75" w:id="66"/>
    <w:p>
      <w:pPr>
        <w:spacing w:after="0"/>
        <w:ind w:left="0"/>
        <w:jc w:val="both"/>
      </w:pPr>
      <w:r>
        <w:rPr>
          <w:rFonts w:ascii="Times New Roman"/>
          <w:b w:val="false"/>
          <w:i w:val="false"/>
          <w:color w:val="000000"/>
          <w:sz w:val="28"/>
        </w:rPr>
        <w:t>
      The volume of obligations, secured by the State Guarantee, as of the end of the reporting period – _______ thousand tenge</w:t>
      </w:r>
    </w:p>
    <w:bookmarkEnd w:id="66"/>
    <w:bookmarkStart w:name="z76" w:id="67"/>
    <w:p>
      <w:pPr>
        <w:spacing w:after="0"/>
        <w:ind w:left="0"/>
        <w:jc w:val="both"/>
      </w:pPr>
      <w:r>
        <w:rPr>
          <w:rFonts w:ascii="Times New Roman"/>
          <w:b w:val="false"/>
          <w:i w:val="false"/>
          <w:color w:val="000000"/>
          <w:sz w:val="28"/>
        </w:rPr>
        <w:t>
      ______________________________ _____________ ______________________________</w:t>
      </w:r>
    </w:p>
    <w:bookmarkEnd w:id="67"/>
    <w:bookmarkStart w:name="z77" w:id="68"/>
    <w:p>
      <w:pPr>
        <w:spacing w:after="0"/>
        <w:ind w:left="0"/>
        <w:jc w:val="both"/>
      </w:pPr>
      <w:r>
        <w:rPr>
          <w:rFonts w:ascii="Times New Roman"/>
          <w:b w:val="false"/>
          <w:i w:val="false"/>
          <w:color w:val="000000"/>
          <w:sz w:val="28"/>
        </w:rPr>
        <w:t>
       First Head                         signature       surname, name, patronymic (if any)</w:t>
      </w:r>
    </w:p>
    <w:bookmarkEnd w:id="68"/>
    <w:bookmarkStart w:name="z78" w:id="69"/>
    <w:p>
      <w:pPr>
        <w:spacing w:after="0"/>
        <w:ind w:left="0"/>
        <w:jc w:val="both"/>
      </w:pPr>
      <w:r>
        <w:rPr>
          <w:rFonts w:ascii="Times New Roman"/>
          <w:b w:val="false"/>
          <w:i w:val="false"/>
          <w:color w:val="000000"/>
          <w:sz w:val="28"/>
        </w:rPr>
        <w:t>
      ______________________________ _____________ ______________________________</w:t>
      </w:r>
    </w:p>
    <w:bookmarkEnd w:id="69"/>
    <w:bookmarkStart w:name="z79" w:id="70"/>
    <w:p>
      <w:pPr>
        <w:spacing w:after="0"/>
        <w:ind w:left="0"/>
        <w:jc w:val="both"/>
      </w:pPr>
      <w:r>
        <w:rPr>
          <w:rFonts w:ascii="Times New Roman"/>
          <w:b w:val="false"/>
          <w:i w:val="false"/>
          <w:color w:val="000000"/>
          <w:sz w:val="28"/>
        </w:rPr>
        <w:t>
             Chief Accountant             signature       surname, name, patronymic (if any)</w:t>
      </w:r>
    </w:p>
    <w:bookmarkEnd w:id="70"/>
    <w:bookmarkStart w:name="z80" w:id="71"/>
    <w:p>
      <w:pPr>
        <w:spacing w:after="0"/>
        <w:ind w:left="0"/>
        <w:jc w:val="both"/>
      </w:pPr>
      <w:r>
        <w:rPr>
          <w:rFonts w:ascii="Times New Roman"/>
          <w:b w:val="false"/>
          <w:i w:val="false"/>
          <w:color w:val="000000"/>
          <w:sz w:val="28"/>
        </w:rPr>
        <w:t>
      ______________________________ _____________ ______________________________</w:t>
      </w:r>
    </w:p>
    <w:bookmarkEnd w:id="71"/>
    <w:bookmarkStart w:name="z81" w:id="72"/>
    <w:p>
      <w:pPr>
        <w:spacing w:after="0"/>
        <w:ind w:left="0"/>
        <w:jc w:val="both"/>
      </w:pPr>
      <w:r>
        <w:rPr>
          <w:rFonts w:ascii="Times New Roman"/>
          <w:b w:val="false"/>
          <w:i w:val="false"/>
          <w:color w:val="000000"/>
          <w:sz w:val="28"/>
        </w:rPr>
        <w:t>
             Responsible Officer             signature       surname, name, patronymic (if any)</w:t>
      </w:r>
    </w:p>
    <w:bookmarkEnd w:id="72"/>
    <w:bookmarkStart w:name="z82" w:id="73"/>
    <w:p>
      <w:pPr>
        <w:spacing w:after="0"/>
        <w:ind w:left="0"/>
        <w:jc w:val="both"/>
      </w:pPr>
      <w:r>
        <w:rPr>
          <w:rFonts w:ascii="Times New Roman"/>
          <w:b w:val="false"/>
          <w:i w:val="false"/>
          <w:color w:val="000000"/>
          <w:sz w:val="28"/>
        </w:rPr>
        <w:t>
      Telephone of the authorized person (agent) ____________</w:t>
      </w:r>
    </w:p>
    <w:bookmarkEnd w:id="73"/>
    <w:bookmarkStart w:name="z83" w:id="74"/>
    <w:p>
      <w:pPr>
        <w:spacing w:after="0"/>
        <w:ind w:left="0"/>
        <w:jc w:val="both"/>
      </w:pPr>
      <w:r>
        <w:rPr>
          <w:rFonts w:ascii="Times New Roman"/>
          <w:b w:val="false"/>
          <w:i w:val="false"/>
          <w:color w:val="000000"/>
          <w:sz w:val="28"/>
        </w:rPr>
        <w:t>
      Notice:</w:t>
      </w:r>
    </w:p>
    <w:bookmarkEnd w:id="74"/>
    <w:bookmarkStart w:name="z84" w:id="75"/>
    <w:p>
      <w:pPr>
        <w:spacing w:after="0"/>
        <w:ind w:left="0"/>
        <w:jc w:val="both"/>
      </w:pPr>
      <w:r>
        <w:rPr>
          <w:rFonts w:ascii="Times New Roman"/>
          <w:b w:val="false"/>
          <w:i w:val="false"/>
          <w:color w:val="000000"/>
          <w:sz w:val="28"/>
        </w:rPr>
        <w:t xml:space="preserve">
      The report is drawn up on a monthly basis, by the 20th (twentieth) day of the month following the reporting period, separately for each line in thousand tenge, summarizing the total line "Total" for all columns in thousand tenge. The indicators are brought to tenge at market exchange rates, determined in accordance with the procedure, established by the </w:t>
      </w:r>
      <w:r>
        <w:rPr>
          <w:rFonts w:ascii="Times New Roman"/>
          <w:b w:val="false"/>
          <w:i w:val="false"/>
          <w:color w:val="000000"/>
          <w:sz w:val="28"/>
        </w:rPr>
        <w:t>Law</w:t>
      </w:r>
      <w:r>
        <w:rPr>
          <w:rFonts w:ascii="Times New Roman"/>
          <w:b w:val="false"/>
          <w:i w:val="false"/>
          <w:color w:val="000000"/>
          <w:sz w:val="28"/>
        </w:rPr>
        <w:t xml:space="preserve"> of the Republic of Kazakhstan dated March 30, 1995 "On the National Bank", on the last calendar day of the reporting period.</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monitoring of the </w:t>
            </w:r>
            <w:r>
              <w:br/>
            </w:r>
            <w:r>
              <w:rPr>
                <w:rFonts w:ascii="Times New Roman"/>
                <w:b w:val="false"/>
                <w:i w:val="false"/>
                <w:color w:val="000000"/>
                <w:sz w:val="20"/>
              </w:rPr>
              <w:t xml:space="preserve">state-guaranteed obligation on </w:t>
            </w:r>
            <w:r>
              <w:br/>
            </w:r>
            <w:r>
              <w:rPr>
                <w:rFonts w:ascii="Times New Roman"/>
                <w:b w:val="false"/>
                <w:i w:val="false"/>
                <w:color w:val="000000"/>
                <w:sz w:val="20"/>
              </w:rPr>
              <w:t xml:space="preserve">export support and financial </w:t>
            </w:r>
            <w:r>
              <w:br/>
            </w:r>
            <w:r>
              <w:rPr>
                <w:rFonts w:ascii="Times New Roman"/>
                <w:b w:val="false"/>
                <w:i w:val="false"/>
                <w:color w:val="000000"/>
                <w:sz w:val="20"/>
              </w:rPr>
              <w:t xml:space="preserve">condition of the national company </w:t>
            </w:r>
            <w:r>
              <w:br/>
            </w:r>
            <w:r>
              <w:rPr>
                <w:rFonts w:ascii="Times New Roman"/>
                <w:b w:val="false"/>
                <w:i w:val="false"/>
                <w:color w:val="000000"/>
                <w:sz w:val="20"/>
              </w:rPr>
              <w:t xml:space="preserve">carrying out the functions of </w:t>
            </w:r>
            <w:r>
              <w:br/>
            </w:r>
            <w:r>
              <w:rPr>
                <w:rFonts w:ascii="Times New Roman"/>
                <w:b w:val="false"/>
                <w:i w:val="false"/>
                <w:color w:val="000000"/>
                <w:sz w:val="20"/>
              </w:rPr>
              <w:t xml:space="preserve">export support, which has a state </w:t>
            </w:r>
            <w:r>
              <w:br/>
            </w:r>
            <w:r>
              <w:rPr>
                <w:rFonts w:ascii="Times New Roman"/>
                <w:b w:val="false"/>
                <w:i w:val="false"/>
                <w:color w:val="000000"/>
                <w:sz w:val="20"/>
              </w:rPr>
              <w:t>guarantee for export support</w:t>
            </w:r>
          </w:p>
        </w:tc>
      </w:tr>
    </w:tbl>
    <w:bookmarkStart w:name="z86" w:id="76"/>
    <w:p>
      <w:pPr>
        <w:spacing w:after="0"/>
        <w:ind w:left="0"/>
        <w:jc w:val="left"/>
      </w:pPr>
      <w:r>
        <w:rPr>
          <w:rFonts w:ascii="Times New Roman"/>
          <w:b/>
          <w:i w:val="false"/>
          <w:color w:val="000000"/>
        </w:rPr>
        <w:t xml:space="preserve"> Information about the condition of the volume of accepted insurance obligations</w:t>
      </w:r>
    </w:p>
    <w:bookmarkEnd w:id="76"/>
    <w:bookmarkStart w:name="z87" w:id="77"/>
    <w:p>
      <w:pPr>
        <w:spacing w:after="0"/>
        <w:ind w:left="0"/>
        <w:jc w:val="both"/>
      </w:pPr>
      <w:r>
        <w:rPr>
          <w:rFonts w:ascii="Times New Roman"/>
          <w:b w:val="false"/>
          <w:i w:val="false"/>
          <w:color w:val="000000"/>
          <w:sz w:val="28"/>
        </w:rPr>
        <w:t>
      periodicity: monthly</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thousand tenge</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2126"/>
        <w:gridCol w:w="2971"/>
        <w:gridCol w:w="1294"/>
        <w:gridCol w:w="1338"/>
        <w:gridCol w:w="4263"/>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obligations as of the beginning of the reporting period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Changes in the reporting period</w:t>
            </w:r>
          </w:p>
        </w:tc>
        <w:tc>
          <w:tcPr>
            <w:tcW w:w="4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obligations as of the end of the reporting period (column 6 = column 3 + column 4 – column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Accepted obligations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Terminated obligations</w:t>
            </w:r>
          </w:p>
        </w:tc>
        <w:tc>
          <w:tcPr>
            <w:tcW w:w="0" w:type="auto"/>
            <w:vMerge/>
            <w:tcBorders>
              <w:top w:val="nil"/>
              <w:left w:val="single" w:color="cfcfcf" w:sz="5"/>
              <w:bottom w:val="single" w:color="cfcfcf" w:sz="5"/>
              <w:right w:val="single" w:color="cfcfcf" w:sz="5"/>
            </w:tcBorders>
          </w:tcP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in the national currency</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in the foreign currency, including:</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Russian rubles</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US dollars</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Euro</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78"/>
    <w:p>
      <w:pPr>
        <w:spacing w:after="0"/>
        <w:ind w:left="0"/>
        <w:jc w:val="both"/>
      </w:pPr>
      <w:r>
        <w:rPr>
          <w:rFonts w:ascii="Times New Roman"/>
          <w:b w:val="false"/>
          <w:i w:val="false"/>
          <w:color w:val="000000"/>
          <w:sz w:val="28"/>
        </w:rPr>
        <w:t>
      _______________________ _____________ ____________________________________</w:t>
      </w:r>
    </w:p>
    <w:bookmarkEnd w:id="78"/>
    <w:bookmarkStart w:name="z90" w:id="79"/>
    <w:p>
      <w:pPr>
        <w:spacing w:after="0"/>
        <w:ind w:left="0"/>
        <w:jc w:val="both"/>
      </w:pPr>
      <w:r>
        <w:rPr>
          <w:rFonts w:ascii="Times New Roman"/>
          <w:b w:val="false"/>
          <w:i w:val="false"/>
          <w:color w:val="000000"/>
          <w:sz w:val="28"/>
        </w:rPr>
        <w:t>
       First Head                         signature       surname, name, patronymic (if any)</w:t>
      </w:r>
    </w:p>
    <w:bookmarkEnd w:id="79"/>
    <w:bookmarkStart w:name="z91" w:id="80"/>
    <w:p>
      <w:pPr>
        <w:spacing w:after="0"/>
        <w:ind w:left="0"/>
        <w:jc w:val="both"/>
      </w:pPr>
      <w:r>
        <w:rPr>
          <w:rFonts w:ascii="Times New Roman"/>
          <w:b w:val="false"/>
          <w:i w:val="false"/>
          <w:color w:val="000000"/>
          <w:sz w:val="28"/>
        </w:rPr>
        <w:t>
      ________________________ _____________ ____________________________________</w:t>
      </w:r>
    </w:p>
    <w:bookmarkEnd w:id="80"/>
    <w:bookmarkStart w:name="z92" w:id="81"/>
    <w:p>
      <w:pPr>
        <w:spacing w:after="0"/>
        <w:ind w:left="0"/>
        <w:jc w:val="both"/>
      </w:pPr>
      <w:r>
        <w:rPr>
          <w:rFonts w:ascii="Times New Roman"/>
          <w:b w:val="false"/>
          <w:i w:val="false"/>
          <w:color w:val="000000"/>
          <w:sz w:val="28"/>
        </w:rPr>
        <w:t>
       Chief Accountant                   signature       surname, name, patronymic (if any)</w:t>
      </w:r>
    </w:p>
    <w:bookmarkEnd w:id="81"/>
    <w:bookmarkStart w:name="z93" w:id="82"/>
    <w:p>
      <w:pPr>
        <w:spacing w:after="0"/>
        <w:ind w:left="0"/>
        <w:jc w:val="both"/>
      </w:pPr>
      <w:r>
        <w:rPr>
          <w:rFonts w:ascii="Times New Roman"/>
          <w:b w:val="false"/>
          <w:i w:val="false"/>
          <w:color w:val="000000"/>
          <w:sz w:val="28"/>
        </w:rPr>
        <w:t>
      ________________________ _____________ ____________________________________</w:t>
      </w:r>
    </w:p>
    <w:bookmarkEnd w:id="82"/>
    <w:bookmarkStart w:name="z94" w:id="83"/>
    <w:p>
      <w:pPr>
        <w:spacing w:after="0"/>
        <w:ind w:left="0"/>
        <w:jc w:val="both"/>
      </w:pPr>
      <w:r>
        <w:rPr>
          <w:rFonts w:ascii="Times New Roman"/>
          <w:b w:val="false"/>
          <w:i w:val="false"/>
          <w:color w:val="000000"/>
          <w:sz w:val="28"/>
        </w:rPr>
        <w:t>
       Responsible Officer                   signature       surname, name, patronymic (if any)</w:t>
      </w:r>
    </w:p>
    <w:bookmarkEnd w:id="83"/>
    <w:bookmarkStart w:name="z95" w:id="84"/>
    <w:p>
      <w:pPr>
        <w:spacing w:after="0"/>
        <w:ind w:left="0"/>
        <w:jc w:val="both"/>
      </w:pPr>
      <w:r>
        <w:rPr>
          <w:rFonts w:ascii="Times New Roman"/>
          <w:b w:val="false"/>
          <w:i w:val="false"/>
          <w:color w:val="000000"/>
          <w:sz w:val="28"/>
        </w:rPr>
        <w:t>
      Telephone of the national company, carrying out the functions of export support</w:t>
      </w:r>
    </w:p>
    <w:bookmarkEnd w:id="84"/>
    <w:bookmarkStart w:name="z96" w:id="85"/>
    <w:p>
      <w:pPr>
        <w:spacing w:after="0"/>
        <w:ind w:left="0"/>
        <w:jc w:val="both"/>
      </w:pPr>
      <w:r>
        <w:rPr>
          <w:rFonts w:ascii="Times New Roman"/>
          <w:b w:val="false"/>
          <w:i w:val="false"/>
          <w:color w:val="000000"/>
          <w:sz w:val="28"/>
        </w:rPr>
        <w:t>
      __________________________</w:t>
      </w:r>
    </w:p>
    <w:bookmarkEnd w:id="85"/>
    <w:bookmarkStart w:name="z97" w:id="86"/>
    <w:p>
      <w:pPr>
        <w:spacing w:after="0"/>
        <w:ind w:left="0"/>
        <w:jc w:val="both"/>
      </w:pPr>
      <w:r>
        <w:rPr>
          <w:rFonts w:ascii="Times New Roman"/>
          <w:b w:val="false"/>
          <w:i w:val="false"/>
          <w:color w:val="000000"/>
          <w:sz w:val="28"/>
        </w:rPr>
        <w:t>
      Notice:</w:t>
      </w:r>
    </w:p>
    <w:bookmarkEnd w:id="86"/>
    <w:bookmarkStart w:name="z98" w:id="87"/>
    <w:p>
      <w:pPr>
        <w:spacing w:after="0"/>
        <w:ind w:left="0"/>
        <w:jc w:val="both"/>
      </w:pPr>
      <w:r>
        <w:rPr>
          <w:rFonts w:ascii="Times New Roman"/>
          <w:b w:val="false"/>
          <w:i w:val="false"/>
          <w:color w:val="000000"/>
          <w:sz w:val="28"/>
        </w:rPr>
        <w:t xml:space="preserve">
      The report is drawn up on a monthly basis, by the 15th (fifteenth) day of the month following the reporting period, separately for each line in thousand tenge, summarizing the total line "Total" for all columns in thousand tenge. The indicators are brought to tenge at market exchange rates determined by the </w:t>
      </w:r>
      <w:r>
        <w:rPr>
          <w:rFonts w:ascii="Times New Roman"/>
          <w:b w:val="false"/>
          <w:i w:val="false"/>
          <w:color w:val="000000"/>
          <w:sz w:val="28"/>
        </w:rPr>
        <w:t>Law</w:t>
      </w:r>
      <w:r>
        <w:rPr>
          <w:rFonts w:ascii="Times New Roman"/>
          <w:b w:val="false"/>
          <w:i w:val="false"/>
          <w:color w:val="000000"/>
          <w:sz w:val="28"/>
        </w:rPr>
        <w:t xml:space="preserve"> of the Republic of Kazakhstan dated March 30, 1995 "On the National Bank", on the last calendar day of the reporting period.</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