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f0085" w14:textId="7bf00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2022 жылғы 29 желтоқсандағы № 19/17 "2023-2025 жылдарға арналған Қызылжар ауданының Новоникольск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2023 жылғы 3 мамырдағы № 2/16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"2023-2025 жылдарға арналған Қызылжар ауданының Новоникольск ауылдық округінің бюджетін бекіту туралы" 2022 жылғы 29 желтоқсандағы № 19/17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Қызылжар ауданының Новоникольск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78 436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11 070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67 366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79 081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-645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645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Қызылжар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мамырдағы № 2/16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 19/17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Новоникольск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