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db27" w14:textId="987d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ұрық ауылдық округінің Қаратұрық, Ащысай, Тауқаратұрық ауылдарындағы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Қаратұрық ауылдық округі әкімінің 2024 жылғы 28 ақпандағы № 1-06/8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ұрық ауылдық округінің Қаратұрық, Ащысай, Тауқаратұрық ауылдарындағы халқының пікірін ескере отырып және 2021 жылдың 29 желтоқсандағы Алматы облысының ономастикалық комиссиясының қорытындысы негізінде, Еңбекшіқазақ ауданы Қаратұрық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тұрық ауылдық округінің Қаратұрық ауылындағы "Ленин" тұйық көшесін "Самал" көшесі, Ащысай ауылындағы "К.Маркс" тұйық көшесі "Береке" көшесі, Тауқаратұрық ауылындағы "Восточная" көшесі "Шығыс" көшесі деп қайта ата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І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