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0d10" w14:textId="e990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қаласында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2024 жылғы 1 сәуірдегі № 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жөніндегі министрінің міндетін атқарушысының 2023 жылғы 10 мамырдағы №240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 2024 жылғы 30 наурыздағы Төтенше жағдайлардың алдын алу және жою жөніндегі қалалық комиссия отырысының хаттамасына сәйкес, Теміртау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облысының Теміртау қаласында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Теміртау қаласы әкімінің орынбасары Ринат Қуатұлы Қыдырбеков тағайындалсын.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Теміртау қаласы әкімінің орынбасары - төтенше жағдайды жою басшысы Ринат Қуатұлы Қыдырбеков осы шешімнен туындайтын тиісті іс-шараларды жүргізсін.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қолданысқа енгізіледі және 2024 жылғы 29 наурыздан бастап туындаған құқықтық қатынастарға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