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624ca" w14:textId="7e624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"Стратегиялық объектiлер меншiк иелерiнiң (құқық иеленушiлердiң) оңалтушы (конкурстық) басқарушылардың стратегиялық объектіге ауыртпалық салу не иелiктен шығару туралы өтiнiштерiн қарау қағидаларын бекіту туралы" Қазақстан Республикасы Үкіметінің 2011 жылғы 28 қазандағы № 1223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2014 жылғы 5 тамыздағы № 868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Стратегиялық объектiлер меншiк иелерiнiң (құқық иеленушiлердiң) оңалтушы (конкурстық) басқарушылардың стратегиялық объектіге ауыртпалық салу не иелiктен шығару туралы өтiнiштерiн қарау қағидаларын бекіту туралы» Қазақстан Республикасы Үкіметінің 2011 жылғы 28 қазандағы № 1223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2011 ж., № 59, 834-құжат)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«Стратегиялық объектiлер меншiк иелерiнiң (құқық иеленушiлердiң) оңалтушы (банкроттықты) басқарушылардың стратегиялық объектіге ауыртпалық салу не иелiктен шығару туралы өтiнiштерiн қарау қағидаларын бекіту туралы»;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Қоса беріліп отырған Стратегиялық объектiлер меншiк иелерiнiң (құқық иеленушiлердiң) оңалтушы (банкроттықты) басқарушылардың стратегиялық объектіге ауыртпалық салу не иелiктен шығару туралы өтiнiштерiн қарау қағидалары бекітілсін.»;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Стратегиялық объектiлер меншiк иелерiнiң (құқық иеленушiлердiң), оңалтушы (конкурстық) басқарушылардың стратегиялық объектіге ауыртпалық салу не иелiктен шығару туралы өтiнiштерiн қарау </w:t>
      </w:r>
      <w:r>
        <w:rPr>
          <w:rFonts w:ascii="Times New Roman"/>
          <w:b w:val="false"/>
          <w:i w:val="false"/>
          <w:color w:val="000000"/>
          <w:sz w:val="28"/>
        </w:rPr>
        <w:t>қағидаларында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«Стратегиялық объектiлер меншiк иелерiнiң (құқық иеленушiлердiң), оңалтушы (банкроттықты) басқарушылардың стратегиялық объектіге ауыртпалық салу не иелiктен шығару туралы өтiнiштерiн қарау қағидалары»;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Осы Стратегиялық объектiлер меншiк иелерiнiң (құқық иеленушiлердiң) оңалтушы (банкроттықты) басқарушылардың стратегиялық объектіге ауыртпалық салу не иелiктен шығару туралы өтiнiштерiн қарау қағидалары (бұдан әрі – Қағидалар) «Қазақстан Республикасының Ұлттық қауіпсіздігі туралы» 2012 жылғы 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«Мемлекеттiк мүлiк туралы» 2011 жылғы 1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әзірленген және стратегиялық объектiлердің меншiк иелерiнiң (құқық иеленушiлердiң), оңалтушы (банкроттықты) басқарушылардың стратегиялық объектіге ауыртпалық салу не иелiктен шығару туралы өтiнiштерiн қарау тәртібін айқындайды.»;</w:t>
      </w:r>
      <w:r>
        <w:br/>
      </w:r>
      <w:r>
        <w:rPr>
          <w:rFonts w:ascii="Times New Roman"/>
          <w:b w:val="false"/>
          <w:i w:val="false"/>
          <w:color w:val="000000"/>
          <w:sz w:val="28"/>
        </w:rPr>
        <w:t>
</w:t>
      </w:r>
      <w:r>
        <w:rPr>
          <w:rFonts w:ascii="Times New Roman"/>
          <w:b w:val="false"/>
          <w:i w:val="false"/>
          <w:color w:val="000000"/>
          <w:sz w:val="28"/>
        </w:rPr>
        <w:t>
      2-тармақтың </w:t>
      </w:r>
      <w:r>
        <w:rPr>
          <w:rFonts w:ascii="Times New Roman"/>
          <w:b w:val="false"/>
          <w:i w:val="false"/>
          <w:color w:val="000000"/>
          <w:sz w:val="28"/>
        </w:rPr>
        <w:t>6)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 банкроттықты басқарушы – банкроттық рәсімін жүзеге асыру үшін оңалту және банкроттық саласындағы уәкілетті орган тағайындаған тұлға.»;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2-бөлімнің</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Стратегиялық объектiлер меншiк иелерiнiң (құқық иеленушiлердiң), оңалтушы (банкроттықты) басқарушылардың стратегиялық объектіге ауыртпалық салу не иелiктен шығару туралы өтiнiштерiн қарау тәртібі»;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Стратегиялық объектілерге ауыртпалық салуға не оларды иеліктен шығаруға рұқсат алу үшін Стратегиялық объектiнің меншiк иесі (құқық иеленушi), оңалтушы (банкроттықты) басқарушы не кепіл ұстаушы уәкілетті органға осы Қағидалардың қосымшасына сәйкес нысан бойынша өтінішті және тізбесі Заңның 188-бабының </w:t>
      </w:r>
      <w:r>
        <w:rPr>
          <w:rFonts w:ascii="Times New Roman"/>
          <w:b w:val="false"/>
          <w:i w:val="false"/>
          <w:color w:val="000000"/>
          <w:sz w:val="28"/>
        </w:rPr>
        <w:t>1</w:t>
      </w:r>
      <w:r>
        <w:rPr>
          <w:rFonts w:ascii="Times New Roman"/>
          <w:b w:val="false"/>
          <w:i w:val="false"/>
          <w:color w:val="000000"/>
          <w:sz w:val="28"/>
        </w:rPr>
        <w:t xml:space="preserve"> және/немесе </w:t>
      </w:r>
      <w:r>
        <w:rPr>
          <w:rFonts w:ascii="Times New Roman"/>
          <w:b w:val="false"/>
          <w:i w:val="false"/>
          <w:color w:val="000000"/>
          <w:sz w:val="28"/>
        </w:rPr>
        <w:t>2-тармағында</w:t>
      </w:r>
      <w:r>
        <w:rPr>
          <w:rFonts w:ascii="Times New Roman"/>
          <w:b w:val="false"/>
          <w:i w:val="false"/>
          <w:color w:val="000000"/>
          <w:sz w:val="28"/>
        </w:rPr>
        <w:t xml:space="preserve"> көзделген құжаттарды жібереді.»;</w:t>
      </w:r>
      <w:r>
        <w:br/>
      </w:r>
      <w:r>
        <w:rPr>
          <w:rFonts w:ascii="Times New Roman"/>
          <w:b w:val="false"/>
          <w:i w:val="false"/>
          <w:color w:val="000000"/>
          <w:sz w:val="28"/>
        </w:rPr>
        <w:t>
</w:t>
      </w:r>
      <w:r>
        <w:rPr>
          <w:rFonts w:ascii="Times New Roman"/>
          <w:b w:val="false"/>
          <w:i w:val="false"/>
          <w:color w:val="000000"/>
          <w:sz w:val="28"/>
        </w:rPr>
        <w:t>
      көрсетілген Қағидаларға </w:t>
      </w:r>
      <w:r>
        <w:rPr>
          <w:rFonts w:ascii="Times New Roman"/>
          <w:b w:val="false"/>
          <w:i w:val="false"/>
          <w:color w:val="000000"/>
          <w:sz w:val="28"/>
        </w:rPr>
        <w:t>қосымшаның</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«Стратегиялық объектiлер меншiк иелерiнiң (құқық иеленушiлердiң) оңалтушы (банкроттықты) басқарушылардың стратегиялық объектіге ауыртпалық салу не иелiктен шығару туралы өтiнiштерiн қарау қағидаларына қосымша».</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