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0357" w14:textId="dae0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28 шілдедегі № 156 "Жер салығының базалық ставкаларының өзгерістері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2012 жылғы 24 шілдедегі № 51 шешімі. Қостанай облысының Әділет департаментінде 2012 жылғы 16 тамызда № 9-11-143 тіркелді. Күші жойылды - Қостанай облысы Қамысты ауданы мәслихатының 2015 жылғы 3 тамыздағы № 300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Қамысты ауданы мәслихатының 03.08.2015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"Салық және бюджетке төленетін басқа да міндетті төлемдер туралы (Салық кодексі)"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"Жер салығының базалық ставкаларының өзгерістері туралы" 2009 жылғы 28 шілдедегі 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9-11-95 нөмірімен тіркелген, 2009 жылғы 11 қыркүйекте "Новый путь - Бозторғай"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Автотұрақтар (паркингтер), автомобильге май құю станциялары үшін бөлінген (бөліп шығарылған) жерлерді қоспағанда, Қазақстан Республикасының 2008 жылғы 10 желтоқсандағы "Салық және бюджетке төленетін басқа да міндетті төлемдер туралы (Салық кодексі)" Кодексінің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ставкалары 50 процентке ұлғайтылсын.".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Рақымжанов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Қамысты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Карбозов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