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ebb0" w14:textId="cf3e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24 сәуірдегі № 83 "Діни қызмет саласындағы мемлекеттік көрсетілетін қызметтер регламенттерін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30 қазандағы № 268 қаулысы. Маңғыстау облысы Әділет департаментінде 2014 жылғы 08 желтоқсанда № 2544 болып тіркелді. Күші жойылды - Маңғыстау облысы әкімдігінің 2015 жылғы 27 шілдедегі № 211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Маңғыстау облысы әкімдігінің 27.07.2015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211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көрсетілетін қызметтердің стандарттары мен регламенттерін әзірлеу жөніндегі қағиданы бекіту туралы» Қазақстан Республикасы Экономика және бюджеттік жоспарлау министрінің 2013 жылғы 14 тамыздағы № 249 бұйрығына өзгерістер мен толықтыру енгізу туралы» 2014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Экономика және бюджеттік жоспарлау министрінің бұйрығына (Нормативтік құқықтық актілердің мемлекеттік тізілімінде № 9432 болып тіркелген)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2014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«Діни қызмет саласындағы мемлекеттік көрсетілетін қызметтер регламенттерін бекіту туралы» қаулысына (Нормативтік құқықтық актілердің мемлекеттік тізілімінде № 2436 болып тіркелген, 2014 жылғы 10 маусымда «Әділет» ақпараттық-құқықтық жүйесінде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«Діни іс-шараларды өткізуге арналған үй-жайларды ғибадат үйлерінен (ғимараттарынан) тыс жерлерде орналастыруға келісу туралы шешім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Осы «Діни іс-шараларды өткізуге арналған үй-жайларды ғибадат үйлерінен (ғимараттарынан) тыс жерлерде орналастыруға келісу туралы шешім беру» мемлекеттік көрсетілетін қызмет регламентіне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рәсімдердің (іс-қимылдардың) реттілігінің сипаттамасы блок-схемамен сүйемелденеді.»;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«Діни іс-шараларды өткізуге арналған үй-жайларды ғибадат үйлерінен (ғимараттарынан) тыс жерлерде орналастыруға келісу туралы шешім беру» мемлекеттік көрсетілетін қызмет регламентіне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Қызметті берушінің мемлекеттік қызмет көрсету процесінде (іс-қимылдардың) реттілігінің құрылымдық бөлімшелерінің (қызметкерлерінің) өзара іс-қимылдары рәсімдерінің толық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Осы 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беру» мемлекеттік көрсетілетін қызмет регламентіне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рәсімдердің (іс-қимылдардың) реттілігінің сипаттамасы блок-схемамен сүйемелденеді.»;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беру» мемлекеттік көрсетілетін қызмет регламентіне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Қызметті берушінің мемлекеттік қызмет көрсету процесінде (іс-қимылдардың) реттілігінің құрылымдық бөлімшелерінің (қызметкерлерінің) өзара іс-қимылдары рәсімдерінің толық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«Миссионерлік қызметті жүзеге асыратын тұлғаларды тіркеуді және қайта тіркеуді жүргізу» мемлекеттік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Осы «Миссионерлік қызметті жүзеге асыратын тұлғаларды тіркеуді және қайта тіркеуді жүргізу» мемлекеттік көрсетілетін қызмет регламентіне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рәсімдердің (іс-қимылдардың) реттілігінің сипаттамасы блок-схемамен сүйемелденеді.»;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«Миссионерлік қызметті жүзеге асыратын тұлғаларды тіркеуді және қайта тіркеуді жүргізу» мемлекеттік көрсетілетін қызмет регламентіне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Қызметті берушінің мемлекеттік қызмет көрсету процесінде (іс-қимылдардың) реттілігінің құрылымдық бөлімшелерінің (қызметкерлерінің) өзара іс-қимылдары рәсімдерінің толық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облысының дін істері басқармасы» мемлекеттік мекемесі (Е.Ж. Есбергенов) осы қаулының әділет органдарда мемлекеттік тіркелуін, оның «Әділет» ақпараттық-құқықтық жүйесі мен бұқаралық ақпарат құралдарында, Маңғыстау облысы әкімдігінің интернет-ресурсында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«Маңғыстау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дін істері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Е.Ж. Есбергенов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қазан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«Діни іс-шараларды өткізуге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үй-жайларды ғибадат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үйлерінен (ғимараттарынан)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жерлерде орналастыруға келісу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392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«Діни іс-шараларды өткізуге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үй-жайларды ғибадат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үйлерінен (ғимараттарынан)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жерлерде орналастыруға келісу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«Діни әдебиетті және діни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мазмұндағы өзге де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материалдарды, діни мақсаттағы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заттарды тарату үшін арнайы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үй-жайлардың орналастырылуын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 беру»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«Діни әдебиетті және діни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мазмұндағы өзге де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материалдарды, діни мақсаттағы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заттарды тарату үшін арнайы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үй-жайлардың орналастырылуын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 беру»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754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«Миссионерлік қызметті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тұлғаларды тіркеуді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қайта тіркеуді жүргізу»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26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«Миссионерлік қызметті жүзеге асыратын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тұлғаларды тіркеуді және қайта тіркеуді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