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e814" w14:textId="d98e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2015 жылғы 13 сәуірдегі № 273 шешімі. Қостанай облысының Әділет департаментінде 2015 жылғы 29 сәуірде № 5577 болып тіркелді. Күші жойылды - Қостанай облысы Қарасу ауданы мәслихатының 2018 жылғы 2 ақпандағы № 197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02.02.2018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7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1–тармағымен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бабыларымен және Қазақстан Республикасының жер заңдарына сәйкес өткізілген жерді аймақтарға бөлу жобалары (схемалары) негізінде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және бюджетке төленетін басқа да міндетті төлемдер туралы" (Салық кодексі)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автотұрақтарға (паркингтерге), автомобильге май құю станциялары, казино орналасқан үшін бөлінген, сондай-ақ тиісті мақсаттарда пайдаланылмайтын немесе Қазақстан Республикасының заңнамасын бұза отырып пайдаланылатын жер учаскелерін қоспағанда, жер салығының базалық мөлшерлемелерінен жер салығының мөлшерлемелері 50 пайызға жоғарылатылсын.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Қарасу ауданы мәслихатының 01.03.2016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"Жер салығының базалық ставкаларының өзгерістер туралы" аудандық мәслихатының 2010 жылғы 3 ақпандағы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9-13-102 нөмірімен тіркелген, 2010 жылғы 24 наурыздағы "Қарасу өңірі" газетінде жарияланған), мәслихаттың 2011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2010 жылғы 3 ақпандағы № 211 "Жер салығының базалық ставкаларының өзгерістер туралы" шешіміне өзгеріс енгізу туралы" (Нормативтік құқықтық актілерді мемлекеттік тіркеу Тізілімінде 9-13-136 нөмірімен тіркелген, 2011 жылғы 19 қазандағы "Қарасу өңірі" газетінде жарияланған) шешімдердің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Журжа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Қарасу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министрлігінің Мемлекеттік кірістер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 Қостанай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Қарасу ауданы бойынша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басқармасы"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Ж.Сиитова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"Қарасу ауданы әкімдігінің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қатынастары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 Д.Тұрсынбаева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