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70ecf" w14:textId="dc70e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 төрелігі академиясын, әскери, арнаулы оқу орындарын, мәдениет саласындағы білім беру ұйымдарын қоспағанда, жоғары және (немесе) жоғары оқу орнынан кейінгі білім беру ұйымдары профессор-оқытушылар құрамының жалпы санын есептеу үшін білім алушылар санының оқытушыларға орташа арақатынасын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2018 жылғы 31 қазандағы № 606 бұйрығы. Қазақстан Республикасының Әділет министрлігінде 2018 жылғы 1 қарашада № 17670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Білім және ғылым министрінің 02.07.2020 </w:t>
      </w:r>
      <w:r>
        <w:rPr>
          <w:rFonts w:ascii="Times New Roman"/>
          <w:b w:val="false"/>
          <w:i w:val="false"/>
          <w:color w:val="ff0000"/>
          <w:sz w:val="28"/>
        </w:rPr>
        <w:t>№ 284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"Білім туралы" 2007 жылғы 27 шілдедегі Қазақстан Республикасы Заңының 52-бабының </w:t>
      </w:r>
      <w:r>
        <w:rPr>
          <w:rFonts w:ascii="Times New Roman"/>
          <w:b w:val="false"/>
          <w:i w:val="false"/>
          <w:color w:val="000000"/>
          <w:sz w:val="28"/>
        </w:rPr>
        <w:t>8-тармағына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Осы бұйрыққа қосымшаға сәйкес Сот төрелігі академиясын, әскери, арнаулы оқу орындарын, мәдениет саласындағы білім беру ұйымдарын қоспағанда, жоғары және (немесе) жоғары оқу орнынан кейінгі білім беру ұйымдары профессор - оқытушылар құрамының жалпы санын есептеу үшін білім алушылар санының оқытушыларға орташа арақатынасы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02.07.2020 </w:t>
      </w:r>
      <w:r>
        <w:rPr>
          <w:rFonts w:ascii="Times New Roman"/>
          <w:b w:val="false"/>
          <w:i w:val="false"/>
          <w:color w:val="000000"/>
          <w:sz w:val="28"/>
        </w:rPr>
        <w:t>№ 284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Республикасының Білім және ғылым министрлігі Жоғары және жоғары оқу орнынан кейінгі білім департаменті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көшірмесін қағаз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 ресми жарияланғаннан кейін оны Қазақстан Республикасы Білім және ғылым министрлігінің интернет-ресурсында орналастыруды;</w:t>
      </w:r>
    </w:p>
    <w:p>
      <w:pPr>
        <w:spacing w:after="0"/>
        <w:ind w:left="0"/>
        <w:jc w:val="both"/>
      </w:pPr>
      <w:r>
        <w:rPr>
          <w:rFonts w:ascii="Times New Roman"/>
          <w:b w:val="false"/>
          <w:i w:val="false"/>
          <w:color w:val="000000"/>
          <w:sz w:val="28"/>
        </w:rPr>
        <w:t>
      4) осы бұйрық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А.Қ. Аймағамбетовке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Білім және ғылым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606 бұйрығына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Сот төрелігі академиясын, әскери, арнаулы оқу орындарын, мәдениет саласындағы білім беру ұйымдарын қоспағанда, жоғары және (немесе) жоғары оқу орнынан кейінгі білім беру ұйымдары профессор-оқытушылар құрамының жалпы санын есептеу үшін білім алушылар санының оқытушыларға орташа арақатынасы</w:t>
      </w:r>
    </w:p>
    <w:bookmarkEnd w:id="5"/>
    <w:p>
      <w:pPr>
        <w:spacing w:after="0"/>
        <w:ind w:left="0"/>
        <w:jc w:val="both"/>
      </w:pPr>
      <w:r>
        <w:rPr>
          <w:rFonts w:ascii="Times New Roman"/>
          <w:b w:val="false"/>
          <w:i w:val="false"/>
          <w:color w:val="ff0000"/>
          <w:sz w:val="28"/>
        </w:rPr>
        <w:t xml:space="preserve">
      Ескерту. Қосымша жаңа редакцияда – ҚР Ғылым және жоғары білім министрінің 24.10.2023 </w:t>
      </w:r>
      <w:r>
        <w:rPr>
          <w:rFonts w:ascii="Times New Roman"/>
          <w:b w:val="false"/>
          <w:i w:val="false"/>
          <w:color w:val="ff0000"/>
          <w:sz w:val="28"/>
        </w:rPr>
        <w:t>№ 543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 w:id="6"/>
    <w:p>
      <w:pPr>
        <w:spacing w:after="0"/>
        <w:ind w:left="0"/>
        <w:jc w:val="both"/>
      </w:pPr>
      <w:r>
        <w:rPr>
          <w:rFonts w:ascii="Times New Roman"/>
          <w:b w:val="false"/>
          <w:i w:val="false"/>
          <w:color w:val="000000"/>
          <w:sz w:val="28"/>
        </w:rPr>
        <w:t>
      Әскери, арнаулы оқу орындарын, мәдениет саласындағы білім беру ұйымдарын қоспағанда, жоғары және (немесе) жоғары оқу орнынан кейінгі білім беру ұйымдарының профессор-оқытушылар құрамы (бұдан әрі – ОПҚ) білім алушылардың 1 ОПҚ-ға арақатынасының негізінде айқындалады: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оқытушыларға орташа арақатынасы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Бакалавриат даярлау бағыттары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дамытудың пәндік мамандырылған оқытушыларын даярлау ***</w:t>
            </w:r>
          </w:p>
          <w:p>
            <w:pPr>
              <w:spacing w:after="20"/>
              <w:ind w:left="20"/>
              <w:jc w:val="both"/>
            </w:pPr>
            <w:r>
              <w:rPr>
                <w:rFonts w:ascii="Times New Roman"/>
                <w:b w:val="false"/>
                <w:i w:val="false"/>
                <w:color w:val="000000"/>
                <w:sz w:val="20"/>
              </w:rPr>
              <w:t>
(білім беру бағдарламалары бойынша бейнелеу өнері, музыкаға байланысты мұғалімдерді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Тілдер және әдебиет бойынша оқытушыларды даярлау***</w:t>
            </w:r>
          </w:p>
          <w:p>
            <w:pPr>
              <w:spacing w:after="20"/>
              <w:ind w:left="20"/>
              <w:jc w:val="both"/>
            </w:pPr>
            <w:r>
              <w:rPr>
                <w:rFonts w:ascii="Times New Roman"/>
                <w:b w:val="false"/>
                <w:i w:val="false"/>
                <w:color w:val="000000"/>
                <w:sz w:val="20"/>
              </w:rPr>
              <w:t>
(шет тілдері оқытушыларын даярлаумен байланысты білім беру бағдарламалары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Тілдер және әдебиеттер***</w:t>
            </w:r>
          </w:p>
          <w:p>
            <w:pPr>
              <w:spacing w:after="20"/>
              <w:ind w:left="20"/>
              <w:jc w:val="both"/>
            </w:pPr>
            <w:r>
              <w:rPr>
                <w:rFonts w:ascii="Times New Roman"/>
                <w:b w:val="false"/>
                <w:i w:val="false"/>
                <w:color w:val="000000"/>
                <w:sz w:val="20"/>
              </w:rPr>
              <w:t>
(шетел филологиясы, аудармашы кадрларды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және гуманитарлық ғылымдар***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Даярлаудың басқа барлық бағыттары және білім беру бағдарламалары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Дайындық бөлімдерінің тыңдаушылары, оның ішінде шетел азаматтары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кафедра студенттері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Ескерту: профессор-оқытушылар құрамының жалпы санын есептеу үшін білім алушылар санының оқытушыларға орташа арақатынасынан рұқсат етілген ауытқулар:</w:t>
      </w:r>
    </w:p>
    <w:p>
      <w:pPr>
        <w:spacing w:after="0"/>
        <w:ind w:left="0"/>
        <w:jc w:val="both"/>
      </w:pPr>
      <w:r>
        <w:rPr>
          <w:rFonts w:ascii="Times New Roman"/>
          <w:b w:val="false"/>
          <w:i w:val="false"/>
          <w:color w:val="000000"/>
          <w:sz w:val="28"/>
        </w:rPr>
        <w:t>
      * – 0,5 (-/+);</w:t>
      </w:r>
    </w:p>
    <w:p>
      <w:pPr>
        <w:spacing w:after="0"/>
        <w:ind w:left="0"/>
        <w:jc w:val="both"/>
      </w:pPr>
      <w:r>
        <w:rPr>
          <w:rFonts w:ascii="Times New Roman"/>
          <w:b w:val="false"/>
          <w:i w:val="false"/>
          <w:color w:val="000000"/>
          <w:sz w:val="28"/>
        </w:rPr>
        <w:t>
      ** – 1 (-/+);</w:t>
      </w:r>
    </w:p>
    <w:p>
      <w:pPr>
        <w:spacing w:after="0"/>
        <w:ind w:left="0"/>
        <w:jc w:val="both"/>
      </w:pPr>
      <w:r>
        <w:rPr>
          <w:rFonts w:ascii="Times New Roman"/>
          <w:b w:val="false"/>
          <w:i w:val="false"/>
          <w:color w:val="000000"/>
          <w:sz w:val="28"/>
        </w:rPr>
        <w:t>
      *** – 2 (-/+);</w:t>
      </w:r>
    </w:p>
    <w:p>
      <w:pPr>
        <w:spacing w:after="0"/>
        <w:ind w:left="0"/>
        <w:jc w:val="both"/>
      </w:pPr>
      <w:r>
        <w:rPr>
          <w:rFonts w:ascii="Times New Roman"/>
          <w:b w:val="false"/>
          <w:i w:val="false"/>
          <w:color w:val="000000"/>
          <w:sz w:val="28"/>
        </w:rPr>
        <w:t>
      **** – 4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