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fa91" w14:textId="066f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Қалғұты ауылдық округі әкімінің 2017 жылғы 7 тамыздағы № 02 "Күршім ауданының Қалғұты ауылдық округі Қаратоғай ауылына шектеу іс-шараларын белгілеу туралы" шешімнің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Қалғұты ауылдық округі әкімінің 2019 жылғы 24 сәуірдегі № 1 шешімі. Шығыс Қазақстан облысы Әділет департаментінде 2019 жылғы 25 сәуірде № 5888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тармағына, Қазақстан Республикасының 2016 жылғы 6 сәуірдегі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шаруашылық Министрлігі ветеринариялық бақылау және қадағалау комитетінің Күршім аудандық аумақтық инспекциясы" мемлекеттік мекемесі басшысының 2019 жылдың 22 ақпандағы № 129 ұсынысы негізінде, Қалғұты ауылдық округі әкімі ШЕШТІ:</w:t>
      </w:r>
    </w:p>
    <w:bookmarkEnd w:id="1"/>
    <w:bookmarkStart w:name="z8" w:id="2"/>
    <w:p>
      <w:pPr>
        <w:spacing w:after="0"/>
        <w:ind w:left="0"/>
        <w:jc w:val="both"/>
      </w:pPr>
      <w:r>
        <w:rPr>
          <w:rFonts w:ascii="Times New Roman"/>
          <w:b w:val="false"/>
          <w:i w:val="false"/>
          <w:color w:val="000000"/>
          <w:sz w:val="28"/>
        </w:rPr>
        <w:t>
      1. Күршім ауданының Қалғұты ауылдық округі Қаратоғай ауылында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Қалғұты ауылдық округі әкімінің 2017 жылғы 7 тамыздағы №02 "Күршім ауданының Қалғұты ауылдық округі Қаратоғай ауылына шектеу іс шараларын белгілеу туралы" (Нормативтік құқықтық актілерді мемлекеттік тіркеу тізілімінде № 5187 болып 4 қыркүйек 2017 жылы тіркелінген, Қазақстан Республикасының нормативтік құқықтық актілерінің Эталондық бақылау банкінде электрондық түрде 8 қыркүйек 2017 жылы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"Қалғұты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жариылауға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Қалғұты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