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abde" w14:textId="3a6a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2020 жылғы 17 сәуірдегі № 6С-50/3 шешімі. Ақмола облысының Әділет департаментінде 2020 жылғы 22 сәуірде № 7834 болып тіркелді. Күші жойылды - Ақмола облысы Степногорск қалалық мәслихатының 2024 жылғы 9 ақпандағы № 8С-10/2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09.02.2024 </w:t>
      </w:r>
      <w:r>
        <w:rPr>
          <w:rFonts w:ascii="Times New Roman"/>
          <w:b w:val="false"/>
          <w:i w:val="false"/>
          <w:color w:val="ff0000"/>
          <w:sz w:val="28"/>
        </w:rPr>
        <w:t>№ 8С-10/2</w:t>
      </w:r>
      <w:r>
        <w:rPr>
          <w:rFonts w:ascii="Times New Roman"/>
          <w:b w:val="false"/>
          <w:i w:val="false"/>
          <w:color w:val="ff0000"/>
          <w:sz w:val="28"/>
        </w:rPr>
        <w:t xml:space="preserve"> (оның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24 желтоқсандағы № 5С-25/8 (Нормативтік құқықтық актілерді мемлекеттік тіркеу тізілімінде № 3992 болып тіркелген, 2014 жылғы 30 қаңтарда "Степногорск ақшамы" және "Вечерний Степногорск" аймақтық қоғамдық-саяси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және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12-2 тармағымен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"12-2. Өмірлік қиын жағдай туындаған кезде, азаматтың (отбасының) жан басына шаққандағы орташа табысын ескере отырып, әлеуметтік көмек бас бостандығынан айыру орындарынан босатылған және пробация қызметінің есебінде тұратын адамдарға босатылғаны туралы анықтаманы ұсынумен, босатылғаннан кейін 6 айдан кешіктірмей жүгінгенде, әлеуметтік көмектің шекті мөлшері 15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16-тармақ </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"16. Өмірлік қиын жағдай туындаған кезде әлеуметтік көмек алу үшін өтініш беруші өзінің немесе отбасының атынан уәкілетті органға немесе кент, ауылдық округтың әкіміне өтінішке қоса Үлгілік қағидаларға сәйкес құжаттарды ұсынады.";</w:t>
      </w:r>
    </w:p>
    <w:bookmarkStart w:name="z6" w:id="4"/>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4)-тармақшасы</w:t>
      </w:r>
      <w:r>
        <w:rPr>
          <w:rFonts w:ascii="Times New Roman"/>
          <w:b w:val="false"/>
          <w:i w:val="false"/>
          <w:color w:val="000000"/>
          <w:sz w:val="28"/>
        </w:rPr>
        <w:t xml:space="preserve"> алынып тасталсын.</w:t>
      </w:r>
    </w:p>
    <w:bookmarkEnd w:id="4"/>
    <w:bookmarkStart w:name="z7"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20"/>
              <w:ind w:left="20"/>
              <w:jc w:val="both"/>
            </w:pPr>
            <w:r>
              <w:rPr>
                <w:rFonts w:ascii="Times New Roman"/>
                <w:b w:val="false"/>
                <w:i/>
                <w:color w:val="000000"/>
                <w:sz w:val="20"/>
              </w:rPr>
              <w:t>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Н.Лощинская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p>
          <w:p>
            <w:pPr>
              <w:spacing w:after="20"/>
              <w:ind w:left="20"/>
              <w:jc w:val="both"/>
            </w:pPr>
          </w:p>
          <w:p>
            <w:pPr>
              <w:spacing w:after="20"/>
              <w:ind w:left="20"/>
              <w:jc w:val="both"/>
            </w:pPr>
            <w:r>
              <w:rPr>
                <w:rFonts w:ascii="Times New Roman"/>
                <w:b w:val="false"/>
                <w:i/>
                <w:color w:val="000000"/>
                <w:sz w:val="20"/>
              </w:rPr>
              <w:t>мәслихат хатшысының</w:t>
            </w:r>
          </w:p>
          <w:p>
            <w:pPr>
              <w:spacing w:after="20"/>
              <w:ind w:left="20"/>
              <w:jc w:val="both"/>
            </w:pPr>
            <w:r>
              <w:rPr>
                <w:rFonts w:ascii="Times New Roman"/>
                <w:b w:val="false"/>
                <w:i/>
                <w:color w:val="000000"/>
                <w:sz w:val="20"/>
              </w:rPr>
              <w:t>міндетің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О.Джагпаров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