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064a" w14:textId="c130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2020 жылғы 21 ақпандағы № 62 "Ақтөбе облысы бойынша 2020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24 желтоқсандағы № 475 қаулысы. Ақтөбе облысының Әділет департаментінде 2020 жылғы 24 желтоқсанда № 7830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18404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2020 жылғы 21 ақпандағы № 62 "Ақтөбе облысы бойынша 2020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6825 тіркелген, 2020 жылғы 25 ақпанда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 – 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24 желтоқсандағы № 475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"21" ақпандағы № 62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тұқымдық ірі қара мал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нормативтен 50%-ға дейін 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171 743, 355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386 585, 365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3 666 748,765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24 желтоқсандағы № 475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ақпандағы № 62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субси-диялар норматив-тері,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орын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24 желтоқсандағы № 475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ақпандағы № 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2020 жылға асыл тұқымды мал шаруашылығын дамытуды, мал шаруашылығының өнімділігін және өнім сапасын арттыруды субсидиялау бағыттары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бас/шағы-лыстыру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бұқасын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404 317,620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80 863,523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714 988,523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434 317,860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(2022 жылғы 1 қаңтарға дейін қолданыста болады)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134 402,964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199 563,852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Маралдардың (бұғылардың) аналық бастарымен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ұяларымен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Түйелердің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4 436 740,0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6 285 310,235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