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20bb" w14:textId="9622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ауылдық округі Ойыл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2020 жылғы 2 қарашадағы № 106 шешімі. Ақтөбе облысының Әділет департаментінде 2020 жылғы 4 қарашада № 7581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облысының әкімдігі жанындағы облыстық ономастика комиссиясының 2020 жылдың 27 шілдедегі қорытындысының негізінде және тиісті аумақ халқының пiкiрiн ескере отырып, Ойыл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ауылдық округі Ойыл ауылының келесідей атаусыз көшелеріне атаулар берілсін: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схемалық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картаға сәйкес, "Әл - Фараби";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схемалық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картаға сәйкес, "Асанқайғы жырау";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схемалық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картаға сәйкес, "Халел Досмұхамедұлы".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Ойыл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ауылдық округі әкімінің 2020 жылғы 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қосымша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