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fc9" w14:textId="9eb6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"Сақтаушы, сақтандырушы, агент және өзара сақтандыру қоғамының бақылау қызметтерін жүзеге асыру үшін берілетін қажетті ақпарат және құжаттардың нысандары мен мерзімдерін белгілеу туралы" 2015 жылғы 14 мамырдағы № 2/290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25 қыркүйектегі № 3/392 қаулысы. Алматы қаласы Әділет департаментінде 2020 жылғы 30 қыркүйекте № 1640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"Сақтаушы, сақтандырушы, агент және өзара сақтандыру қоғамының бақылау қызметтерін жүзеге асыру үшін берілетін қажетті ақпарат және құжаттардың нысандары мен мерзімдерін белгілеу туралы" 2015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1167 болып тіркелген, 2015 жылғы 6 маусымда "Алматы ақшамы" және "Вечерний Алматы" газеттерінде жарияланған)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Қазақстан Республикасының заңнамасымен белгіленген тәртіпте осы қаулының әділет органдарында мемлекеттік тіркелуін, кейіннен мерзімді баспа басылымдарында ресми жариялануын және интернет-ресурста орналасуын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С.Қ. Тұяқбаевқа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