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d9f7" w14:textId="dc2d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43/318-VІ "2020-2022 жылдарға арналған Аягөз ауданының Нарын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16 қыркүйектегі № 52/463-VI шешімі. Шығыс Қазақстан облысының Әділет департаментінде 2020 жылғы 25 қыркүйекте № 7583 болып тіркелді. Күші жойылды - Шығыс Қазақстан облысы Аягөз аудандық мәслихатының 2020 жылғы 25 желтоқсандағы № 55/547-VI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55/547-VI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04 қыркүйектегі № 52/432-VI "2020-2022 жылдарға арналған Аягөз ауданының бюджеті туралы" Аягөз аудандық мәслихатының 2019 жылғы 25 желтоқсандағы № 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7523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43/318-VІ "2020-2022 жылдарға арналған Аягөз ауданының Нарын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6585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Нарын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24611,0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1760,0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22851,0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24611,0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16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52/463-VI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43/318-VI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Нарын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