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9d36" w14:textId="3c99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аудандық мәслихатының 2020 жылғы 10 қаңтардағы № 43/313-VІ "2020-2022 жылдарға арналған Аягөз ауданының Мәдениет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аудандық мәслихатының 2020 жылғы 6 қарашадағы № 53/489-VI шешімі. Шығыс Қазақстан облысының Әділет департаментінде 2020 жылғы 17 қарашада № 7829 болып тіркелді. Күші жойылды - Шығыс Қазақстан облысы Аягөз аудандық мәслихатының 2020 жылғы 25 желтоқсандағы № 55/542-VI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аудандық мәслихатының 25.12.2020 № 55/542-VI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және Аягөз аудандық мәслихатының 2020 жылғы 23 қазандағы №53/469-VI "2020-2022 жылдарға арналған Аягөз ауданының бюджеті туралы" Аягөз аудандық мәслихатының 2019 жылғы 25 желтоқсандағы №42/291-VІ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7774 нөмірімен тіркелген) сәйкес, Аягөз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Аягөз аудандық мәслихатының 2020 жылғы 10 қаңтардағы № 43/313-VІ "2020-2022 жылдарға арналған Аягөз ауданының Мәдениет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6590 нөмірімен тіркелген, Қазақстан Республикасының нормативтік құқықтық актілерінің электрондық түрдегі эталондық бақылау банкінде 2020 жылдың 21 қаңтарында жарияланған) мынадай өзгерістер енгізілсін: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2020 -2022 жылдарға арналған Мәдениет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22497,8 мың теңге, соның ішінде: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түсімдер – 1070,0 мың теңге;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салықтық емес түсімдер – 700,0 мың теңге;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20727,8 мың теңге;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22497,8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теңге, соның ішінде: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0,0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бюджеттік кредиттерді өтеу – 0,0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теңге, соның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0,0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0,0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0,0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0,0 мың теңге, соның ішінде: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0,0 мың теңге;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0,0 мың теңге;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0,0 мың теңге.";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Аягөз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6 қарашасы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53/489-VI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Аягөз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жылғы 10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43/313-VI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Мәдениет ауылдық округінің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басқарудың қолма-қол ақшаны бақылау шотынан қаражат қалдықтарының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(областық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