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3611" w14:textId="d593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16 қаңтардағы № 49/8-VІ "2020-2022 жылдарға арналған М-Владимировк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0 жылғы 3 желтоқсандағы № 59/3-VI шешімі. Шығыс Қазақстан облысының Әділет департаментінде 2020 жылғы 7 желтоқсанда № 7924 болып тіркелді. Күші жойылды - Шығыс Қазақстан облысы Бесқарағай аудандық мәслихатының 2020 жылғы 29 желтоқсандағы № 62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9.12.2020 № 62/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109-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есқарағ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20 жылғы 16 қаңтардағы № 49/8-VІ "2020-2022 жылдарға арналған М-Владимировка ауылдық округінің бюджеті туралы" (нормативтік құқықтық актілерді мемлекеттік тіркеу Тізілімінде 6617 нөмірімен тіркелген, Қазақстан Республикасының нормативтік құқықтық актілерінің Эталондық бақылау банкінде электрондық түрде 2020 жылғы 2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-Владими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80,6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5,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8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380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8-VI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-Владимир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ұрғын үй-коммуналдық шаруашылығына берілетін 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