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9731d" w14:textId="27973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"Кәдеге жарату төлемін есептеу әдістемесін бекіту туралы" Қазақстан Республикасы Экология, геология және табиғи ресурстар министрінің міндетін атқарушының 2021 жылғы 2 қарашадағы № 448 бұйрығына өзгерістер енгізу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м.а. 2022 жылғы 29 сәуірдегі № 138 бұйрығы. Қазақстан Республикасының Әділет министрлігінде 2022 жылғы 3 мамырда № 27845 болып тіркелді</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"Кәдеге жарату төлемін есептеу әдістемесін бекіту туралы" Қазақстан Республикасы Экология, геология және табиғи ресурстар министрінің міндетін атқарушының 2021 жылғы 2 қарашадағы № 448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25100 болып тіркелген) мынадай өзгеріс енгізілсін:</w:t>
      </w:r>
    </w:p>
    <w:bookmarkEnd w:id="0"/>
    <w:bookmarkStart w:name="z2" w:id="1"/>
    <w:p>
      <w:pPr>
        <w:spacing w:after="0"/>
        <w:ind w:left="0"/>
        <w:jc w:val="both"/>
      </w:pPr>
      <w:r>
        <w:rPr>
          <w:rFonts w:ascii="Times New Roman"/>
          <w:b w:val="false"/>
          <w:i w:val="false"/>
          <w:color w:val="000000"/>
          <w:sz w:val="28"/>
        </w:rPr>
        <w:t xml:space="preserve">
      көрсетілген бұйрықпен бекітілген Кәдеге жарату төлемін есептеу әдістемесіне </w:t>
      </w:r>
      <w:r>
        <w:rPr>
          <w:rFonts w:ascii="Times New Roman"/>
          <w:b w:val="false"/>
          <w:i w:val="false"/>
          <w:color w:val="000000"/>
          <w:sz w:val="28"/>
        </w:rPr>
        <w:t>4-қосымша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1"/>
    <w:bookmarkStart w:name="z3" w:id="2"/>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Қалдықтарды басқаруда мемлекеттік саясат департаменті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Экология, геология және табиғи ресурстар министрлігінің интернет-ресурсында орналастырылуын;</w:t>
      </w:r>
    </w:p>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Экология, геология және табиғи ресурстар министрлігінің Заң қызметі департаментіне осы тармақтың 1) және 2) тармақшаларында көзделген іс-шаралардың орындалғаны туралы мәліметтерді ұсынуды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Экология, геология және табиғи</w:t>
            </w:r>
          </w:p>
          <w:p>
            <w:pPr>
              <w:spacing w:after="20"/>
              <w:ind w:left="20"/>
              <w:jc w:val="both"/>
            </w:pPr>
            <w:r>
              <w:rPr>
                <w:rFonts w:ascii="Times New Roman"/>
                <w:b w:val="false"/>
                <w:i/>
                <w:color w:val="000000"/>
                <w:sz w:val="20"/>
              </w:rPr>
              <w:t xml:space="preserve">            ресурстар министрінің м.а. </w:t>
            </w:r>
          </w:p>
          <w:p>
            <w:pPr>
              <w:spacing w:after="20"/>
              <w:ind w:left="20"/>
              <w:jc w:val="both"/>
            </w:pP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Кожаниязов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w:t>
            </w:r>
            <w:r>
              <w:rPr>
                <w:rFonts w:ascii="Times New Roman"/>
                <w:b/>
                <w:i w:val="false"/>
                <w:color w:val="000000"/>
                <w:sz w:val="20"/>
              </w:rPr>
              <w:t>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w:t>
            </w:r>
          </w:p>
          <w:p>
            <w:pPr>
              <w:spacing w:after="20"/>
              <w:ind w:left="20"/>
              <w:jc w:val="both"/>
            </w:pPr>
            <w:r>
              <w:rPr>
                <w:rFonts w:ascii="Times New Roman"/>
                <w:b/>
                <w:i w:val="false"/>
                <w:color w:val="000000"/>
                <w:sz w:val="20"/>
              </w:rPr>
              <w:t>Ауыл шаруашылығы</w:t>
            </w:r>
          </w:p>
          <w:p>
            <w:pPr>
              <w:spacing w:after="20"/>
              <w:ind w:left="20"/>
              <w:jc w:val="both"/>
            </w:pPr>
            <w:r>
              <w:rPr>
                <w:rFonts w:ascii="Times New Roman"/>
                <w:b/>
                <w:i w:val="false"/>
                <w:color w:val="000000"/>
                <w:sz w:val="20"/>
              </w:rPr>
              <w:t>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w:t>
            </w:r>
            <w:r>
              <w:rPr>
                <w:rFonts w:ascii="Times New Roman"/>
                <w:b/>
                <w:i w:val="false"/>
                <w:color w:val="000000"/>
                <w:sz w:val="20"/>
              </w:rPr>
              <w:t>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w:t>
            </w:r>
          </w:p>
          <w:p>
            <w:pPr>
              <w:spacing w:after="20"/>
              <w:ind w:left="20"/>
              <w:jc w:val="both"/>
            </w:pPr>
            <w:r>
              <w:rPr>
                <w:rFonts w:ascii="Times New Roman"/>
                <w:b/>
                <w:i w:val="false"/>
                <w:color w:val="000000"/>
                <w:sz w:val="20"/>
              </w:rPr>
              <w:t xml:space="preserve">Индустрия және инфрақұрылымдық </w:t>
            </w:r>
          </w:p>
          <w:p>
            <w:pPr>
              <w:spacing w:after="20"/>
              <w:ind w:left="20"/>
              <w:jc w:val="both"/>
            </w:pPr>
            <w:r>
              <w:rPr>
                <w:rFonts w:ascii="Times New Roman"/>
                <w:b/>
                <w:i w:val="false"/>
                <w:color w:val="000000"/>
                <w:sz w:val="20"/>
              </w:rPr>
              <w:t>даму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w:t>
            </w:r>
            <w:r>
              <w:rPr>
                <w:rFonts w:ascii="Times New Roman"/>
                <w:b/>
                <w:i w:val="false"/>
                <w:color w:val="000000"/>
                <w:sz w:val="20"/>
              </w:rPr>
              <w:t>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w:t>
            </w:r>
          </w:p>
          <w:p>
            <w:pPr>
              <w:spacing w:after="20"/>
              <w:ind w:left="20"/>
              <w:jc w:val="both"/>
            </w:pPr>
            <w:r>
              <w:rPr>
                <w:rFonts w:ascii="Times New Roman"/>
                <w:b/>
                <w:i w:val="false"/>
                <w:color w:val="000000"/>
                <w:sz w:val="20"/>
              </w:rPr>
              <w:t>Қаржы</w:t>
            </w:r>
            <w:r>
              <w:rPr>
                <w:rFonts w:ascii="Times New Roman"/>
                <w:b/>
                <w:i w:val="false"/>
                <w:color w:val="000000"/>
                <w:sz w:val="20"/>
              </w:rPr>
              <w:t xml:space="preserve">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w:t>
            </w:r>
            <w:r>
              <w:rPr>
                <w:rFonts w:ascii="Times New Roman"/>
                <w:b/>
                <w:i w:val="false"/>
                <w:color w:val="000000"/>
                <w:sz w:val="20"/>
              </w:rPr>
              <w:t>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w:t>
            </w:r>
          </w:p>
          <w:p>
            <w:pPr>
              <w:spacing w:after="20"/>
              <w:ind w:left="20"/>
              <w:jc w:val="both"/>
            </w:pPr>
            <w:r>
              <w:rPr>
                <w:rFonts w:ascii="Times New Roman"/>
                <w:b/>
                <w:i w:val="false"/>
                <w:color w:val="000000"/>
                <w:sz w:val="20"/>
              </w:rPr>
              <w:t>Сауда және интеграция</w:t>
            </w:r>
          </w:p>
          <w:p>
            <w:pPr>
              <w:spacing w:after="20"/>
              <w:ind w:left="20"/>
              <w:jc w:val="both"/>
            </w:pPr>
            <w:r>
              <w:rPr>
                <w:rFonts w:ascii="Times New Roman"/>
                <w:b/>
                <w:i w:val="false"/>
                <w:color w:val="000000"/>
                <w:sz w:val="20"/>
              </w:rPr>
              <w:t>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w:t>
            </w:r>
            <w:r>
              <w:rPr>
                <w:rFonts w:ascii="Times New Roman"/>
                <w:b/>
                <w:i w:val="false"/>
                <w:color w:val="000000"/>
                <w:sz w:val="20"/>
              </w:rPr>
              <w:t>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w:t>
            </w:r>
          </w:p>
          <w:p>
            <w:pPr>
              <w:spacing w:after="20"/>
              <w:ind w:left="20"/>
              <w:jc w:val="both"/>
            </w:pPr>
            <w:r>
              <w:rPr>
                <w:rFonts w:ascii="Times New Roman"/>
                <w:b/>
                <w:i w:val="false"/>
                <w:color w:val="000000"/>
                <w:sz w:val="20"/>
              </w:rPr>
              <w:t>Ұлттық</w:t>
            </w:r>
            <w:r>
              <w:rPr>
                <w:rFonts w:ascii="Times New Roman"/>
                <w:b/>
                <w:i w:val="false"/>
                <w:color w:val="000000"/>
                <w:sz w:val="20"/>
              </w:rPr>
              <w:t xml:space="preserve"> экономика</w:t>
            </w:r>
          </w:p>
          <w:p>
            <w:pPr>
              <w:spacing w:after="20"/>
              <w:ind w:left="20"/>
              <w:jc w:val="both"/>
            </w:pPr>
            <w:r>
              <w:rPr>
                <w:rFonts w:ascii="Times New Roman"/>
                <w:b/>
                <w:i w:val="false"/>
                <w:color w:val="000000"/>
                <w:sz w:val="20"/>
              </w:rPr>
              <w:t>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r>
              <w:br/>
            </w:r>
            <w:r>
              <w:rPr>
                <w:rFonts w:ascii="Times New Roman"/>
                <w:b w:val="false"/>
                <w:i w:val="false"/>
                <w:color w:val="000000"/>
                <w:sz w:val="20"/>
              </w:rPr>
              <w:t xml:space="preserve">табиғи ресурстар министрінің </w:t>
            </w:r>
            <w:r>
              <w:br/>
            </w:r>
            <w:r>
              <w:rPr>
                <w:rFonts w:ascii="Times New Roman"/>
                <w:b w:val="false"/>
                <w:i w:val="false"/>
                <w:color w:val="000000"/>
                <w:sz w:val="20"/>
              </w:rPr>
              <w:t>м.а.</w:t>
            </w:r>
            <w:r>
              <w:br/>
            </w:r>
            <w:r>
              <w:rPr>
                <w:rFonts w:ascii="Times New Roman"/>
                <w:b w:val="false"/>
                <w:i w:val="false"/>
                <w:color w:val="000000"/>
                <w:sz w:val="20"/>
              </w:rPr>
              <w:t>2022 жылғы 29 сәуірдегі № 138</w:t>
            </w:r>
            <w:r>
              <w:br/>
            </w:r>
            <w:r>
              <w:rPr>
                <w:rFonts w:ascii="Times New Roman"/>
                <w:b w:val="false"/>
                <w:i w:val="false"/>
                <w:color w:val="000000"/>
                <w:sz w:val="20"/>
              </w:rPr>
              <w:t>Кәдеге жарату төлемін есептеу</w:t>
            </w:r>
            <w:r>
              <w:br/>
            </w:r>
            <w:r>
              <w:rPr>
                <w:rFonts w:ascii="Times New Roman"/>
                <w:b w:val="false"/>
                <w:i w:val="false"/>
                <w:color w:val="000000"/>
                <w:sz w:val="20"/>
              </w:rPr>
              <w:t>әдістемесіне</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Автокөлік құралдарына және өздігінен жүретін ауыл шаруашылығы техникасына қатысты кәдеге жарату төлемінің базалық ставкасы және коэффициенттері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Көлік құралдарының және өздігінен жүретін ауыл шаруашылығы техникасының түрлері және санаттары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Базалық мөлшерлеме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Коэффициент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М1 санаттағы, оның ішінде өтімділігі жоғары G санаттағы көлік құралдары, сондай-ақ квадроциклдерді, қарбалшықтажүргіш, қар жүргіштерді, мотовездеходтарды және трициклдерді қоспағанда, СЭҚ ТН 8703 кодтары тобына енгізілген өзге де қозғалыс құралдары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Гибридті күш қондырғысы бар көлік құралдарын қоспағанда, электр қозғалтқыштары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жұмыс көлемімен: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см3-қа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1 001 см3-тан 2 000 см3-қа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2 001 см3-тан 3 000 см3-қа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3 001 см3-тан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N1, N2, N3 санатындағы, оның ішінде G санатындағы жүріп өту мүмкіндігі жоғары көлік құралдары, сондай-ақ СЭҚ ТН 8701 20 101, 8701 20 901, 8704 және 8705 кодтарының топтарына енгізілген өзге де қозғалыс құралдары ("X" санатындағы коммуналдық-жинау машиналарын қоспағанда)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Гибридті күш қондырғысы бар көлік құралдарын қоспағанда, электр қозғалтқыштары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(техникалық рұқсат етілген ең жоғары) массасы: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тоннаға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 тоннадан 3,5 тоннаға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 тоннадан 5 тоннаға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тоннадан 8 тоннаға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 тоннадан 12 тоннаға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Ершікті тартқыштардан басқа, 12,01 тоннадан 20 тоннаға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Ершікті тартқыштардан басқа, 20,01 тоннадан 50 тоннаға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Ершікті тартқыштар</w:t>
            </w:r>
          </w:p>
          <w:p>
            <w:pPr>
              <w:spacing w:after="20"/>
              <w:ind w:left="20"/>
              <w:jc w:val="both"/>
            </w:pPr>
            <w:r>
              <w:rPr>
                <w:rFonts w:ascii="Times New Roman"/>
                <w:b w:val="false"/>
                <w:i w:val="false"/>
                <w:color w:val="000000"/>
                <w:sz w:val="20"/>
              </w:rPr>
              <w:t>
12 тоннадан 50 тоннаға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М2, М3 санатындағы, оның ішінде G санатындағы жүріп өту мүмкіндігі жоғары көлік құралдары, сондай-ақ СЭҚ ТН 8702 кодтары тобына енгізілген өзге де қозғалыс құралдары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Гибридті күш қондырғысы бар көлік құралдарын қоспағанда, электр қозғалтқыштары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жұмыс көлемімен: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см3-қа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2 501 см3-тан 5 000 см3-қа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5 001 см3-тан 10 000 см3-қа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10 001 см3-тан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Тракторлар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номиналды қуатымен: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а.к.-ге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а.к.-дан 130 а.к.-ге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а.к.-дан 220 а.к.-ге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а.к.-дан 340 а.к.-ге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а.к.-дан 380 а.к.-ге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а.к.-дан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Астық жинайтын комбайндар, жемшөп жинайтын комбайндар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номиналды қуатымен: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а.к.-ге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а.к.-дан 220 а.к.-ге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а.к.-дан 255 а.к.-ге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а.к.-дан 325 а.к.-ге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а.к.-дан 400 а.к.-ге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а.к.-дан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bl>
    <w:p>
      <w:pPr>
        <w:spacing w:after="0"/>
        <w:ind w:left="0"/>
        <w:jc w:val="both"/>
      </w:pPr>
      <w:r>
        <w:rPr>
          <w:rFonts w:ascii="Times New Roman"/>
          <w:b w:val="false"/>
          <w:i w:val="false"/>
          <w:color w:val="000000"/>
          <w:sz w:val="28"/>
        </w:rPr>
        <w:t>
      Ескертпе: * автомобиль көлігі саласында мемлекеттік бақылауды жүзеге асыратын уәкілетті орган берген жүктердің халықаралық автомобиль тасымалдарын жүзеге асыруға рұқсат куәлігі болған кезде көлік компаниялары импорттайтын халықаралық тасымалдар үшін пайдаланылатын ершікті тартқыштарға қатысты 2025 жылғы 1 қаңтарға дейін 0 коэффициенті қолданылады.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