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eade" w14:textId="3b4e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Атбасар ауданының Сергеевка ауылдық округінің Самарка ауылының шекарасын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2022 жылғы 15 маусымдағы № а-6/144 және Ақмола облысы Атбасар аудандық мәслихатының 2022 жылғы 15 маусымдағы № 7С 20/2 бірлескен қаулысы мен шешімі. Қазақстан Республикасының Әділет министрлігінде 2022 жылғы 21 маусымда № 28545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108-бабына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 және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әкімдігінің бірлескен қаулысы мен Атбасар аудандық мәслихат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2684,8 гектар шекараны белгілей отырып, Атбасар ауданының 93,5 гектар босалқы жерін қосу жолымен Ақмола облысы Атбасар ауданы Сергеевка ауылдық округінің Самарка ауылының шекарасы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а-6/144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және Атбасар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Атбасар ауданы Сергеевка ауылдық округінің Самарка ауылының схемалық картасы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