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b77e" w14:textId="008b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тәуекел дәрежесін бағалау өлшемшарттарын және тексеру парақтарын бекіту туралы"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 маусымдағы № 206 және Қазақстан Республикасы Ұлттық экономика министрінің 2023 жылғы 1 маусымдағы № 97 бірлескен бұйрығы. Қазақстан Республикасының Әділет министрлігінде 2023 жылғы 2 маусымда № 32677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"Атом энергиясын пайдалану саласындағы тәуекел дәрежесін бағалау өлшемшарттарын және тексеру парақтарын бекіту туралы"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12678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Өлшемшарттарда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атом энергиясын пайдалану саласындағы және рұқсаттар және хабарламалар туралы заңнамаларын бұзатын бақылау және қадағалау субъектілерін (объектілерін) анықтау үшін қажет.</w:t>
      </w:r>
    </w:p>
    <w:bookmarkStart w:name="z4" w:id="0"/>
    <w:p>
      <w:pPr>
        <w:spacing w:after="0"/>
        <w:ind w:left="0"/>
        <w:jc w:val="both"/>
      </w:pPr>
      <w:r>
        <w:rPr>
          <w:rFonts w:ascii="Times New Roman"/>
          <w:b w:val="false"/>
          <w:i w:val="false"/>
          <w:color w:val="000000"/>
          <w:sz w:val="28"/>
        </w:rPr>
        <w:t>
      Тексеру және бару арқылы профилактикалық бақылау жүргізу мақсатында тәуекел дәрежесін бағалау үшін мынадай ақпарат көздері пайдаланылады:</w:t>
      </w:r>
    </w:p>
    <w:bookmarkEnd w:id="0"/>
    <w:bookmarkStart w:name="z5" w:id="1"/>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1"/>
    <w:bookmarkStart w:name="z6" w:id="2"/>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2"/>
    <w:bookmarkStart w:name="z7" w:id="3"/>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ұсынымдар).</w:t>
      </w:r>
    </w:p>
    <w:bookmarkEnd w:id="3"/>
    <w:bookmarkStart w:name="z8" w:id="4"/>
    <w:p>
      <w:pPr>
        <w:spacing w:after="0"/>
        <w:ind w:left="0"/>
        <w:jc w:val="both"/>
      </w:pPr>
      <w:r>
        <w:rPr>
          <w:rFonts w:ascii="Times New Roman"/>
          <w:b w:val="false"/>
          <w:i w:val="false"/>
          <w:color w:val="000000"/>
          <w:sz w:val="28"/>
        </w:rPr>
        <w:t>
      Біліктілік талаптарына сәйкестігіне тексеру жүргізу мақсатында тәуекел дәрежесін бағалау үшін мынадай ақпарат көздері пайдаланылады:</w:t>
      </w:r>
    </w:p>
    <w:bookmarkEnd w:id="4"/>
    <w:bookmarkStart w:name="z9" w:id="5"/>
    <w:p>
      <w:pPr>
        <w:spacing w:after="0"/>
        <w:ind w:left="0"/>
        <w:jc w:val="both"/>
      </w:pPr>
      <w:r>
        <w:rPr>
          <w:rFonts w:ascii="Times New Roman"/>
          <w:b w:val="false"/>
          <w:i w:val="false"/>
          <w:color w:val="000000"/>
          <w:sz w:val="28"/>
        </w:rPr>
        <w:t>
      1)мемлекеттік органдар мен ұйымдар ұсынатын мәліметтерді талдау нәтижелері;</w:t>
      </w:r>
    </w:p>
    <w:bookmarkEnd w:id="5"/>
    <w:bookmarkStart w:name="z10" w:id="6"/>
    <w:p>
      <w:pPr>
        <w:spacing w:after="0"/>
        <w:ind w:left="0"/>
        <w:jc w:val="both"/>
      </w:pPr>
      <w:r>
        <w:rPr>
          <w:rFonts w:ascii="Times New Roman"/>
          <w:b w:val="false"/>
          <w:i w:val="false"/>
          <w:color w:val="000000"/>
          <w:sz w:val="28"/>
        </w:rPr>
        <w:t>
      2)алдыңғы тексерулер нәтижелері.</w:t>
      </w:r>
    </w:p>
    <w:bookmarkEnd w:id="6"/>
    <w:p>
      <w:pPr>
        <w:spacing w:after="0"/>
        <w:ind w:left="0"/>
        <w:jc w:val="both"/>
      </w:pPr>
      <w:r>
        <w:rPr>
          <w:rFonts w:ascii="Times New Roman"/>
          <w:b w:val="false"/>
          <w:i w:val="false"/>
          <w:color w:val="000000"/>
          <w:sz w:val="28"/>
        </w:rPr>
        <w:t>
      Қолданылатын ақпарат көздерінің басымдығын және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11-тармағына сәйкес айқындалған субъективті өлшемшарттарға сәйкес бұзушылықтар бойынша тәуекел дәрежесінің көрсеткішін қорытындылау арқылы,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bookmarkStart w:name="z12" w:id="7"/>
    <w:p>
      <w:pPr>
        <w:spacing w:after="0"/>
        <w:ind w:left="0"/>
        <w:jc w:val="both"/>
      </w:pPr>
      <w:r>
        <w:rPr>
          <w:rFonts w:ascii="Times New Roman"/>
          <w:b w:val="false"/>
          <w:i w:val="false"/>
          <w:color w:val="000000"/>
          <w:sz w:val="28"/>
        </w:rPr>
        <w:t>
      13-1-тармақ мынадай редакцияда толықтырылсын:</w:t>
      </w:r>
    </w:p>
    <w:bookmarkEnd w:id="7"/>
    <w:p>
      <w:pPr>
        <w:spacing w:after="0"/>
        <w:ind w:left="0"/>
        <w:jc w:val="both"/>
      </w:pPr>
      <w:r>
        <w:rPr>
          <w:rFonts w:ascii="Times New Roman"/>
          <w:b w:val="false"/>
          <w:i w:val="false"/>
          <w:color w:val="000000"/>
          <w:sz w:val="28"/>
        </w:rPr>
        <w:t>
      "13-1. Бақылау және қадағалау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жағдайда бақылау және қадағалау субъектісі 100 тәуекел дәрежесі көрсеткішіне теңестіріледі, оған қатысты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көрсеткішін айқындау елеулі және болмашы дәрежедегі бұзушылықтар бойынша жиынтық көрсеткішпен есептеледі.</w:t>
      </w:r>
    </w:p>
    <w:bookmarkStart w:name="z13" w:id="8"/>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мынадай формула бойынша есептеледі:</w:t>
      </w:r>
    </w:p>
    <w:bookmarkEnd w:id="8"/>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bookmarkStart w:name="z14" w:id="9"/>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bookmarkEnd w:id="9"/>
    <w:bookmarkStart w:name="z15" w:id="10"/>
    <w:p>
      <w:pPr>
        <w:spacing w:after="0"/>
        <w:ind w:left="0"/>
        <w:jc w:val="both"/>
      </w:pPr>
      <w:r>
        <w:rPr>
          <w:rFonts w:ascii="Times New Roman"/>
          <w:b w:val="false"/>
          <w:i w:val="false"/>
          <w:color w:val="000000"/>
          <w:sz w:val="28"/>
        </w:rPr>
        <w:t>
      Бұл көрсеткіш мынадай формула бойынша есептеледі:</w:t>
      </w:r>
    </w:p>
    <w:bookmarkEnd w:id="10"/>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bookmarkStart w:name="z16" w:id="11"/>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bookmarkEnd w:id="11"/>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17" w:id="12"/>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bookmarkEnd w:id="12"/>
    <w:bookmarkStart w:name="z18" w:id="13"/>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100-ді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bookmarkEnd w:id="13"/>
    <w:bookmarkStart w:name="z19" w:id="14"/>
    <w:p>
      <w:pPr>
        <w:spacing w:after="0"/>
        <w:ind w:left="0"/>
        <w:jc w:val="both"/>
      </w:pPr>
      <w:r>
        <w:rPr>
          <w:rFonts w:ascii="Times New Roman"/>
          <w:b w:val="false"/>
          <w:i w:val="false"/>
          <w:color w:val="000000"/>
          <w:sz w:val="28"/>
        </w:rPr>
        <w:t>
      2) орташа тәуекел дәрежесіне – тәуекел дәрежесінің көрсеткіші 31-ден 70-ті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bookmarkEnd w:id="14"/>
    <w:bookmarkStart w:name="z20" w:id="15"/>
    <w:p>
      <w:pPr>
        <w:spacing w:after="0"/>
        <w:ind w:left="0"/>
        <w:jc w:val="both"/>
      </w:pPr>
      <w:r>
        <w:rPr>
          <w:rFonts w:ascii="Times New Roman"/>
          <w:b w:val="false"/>
          <w:i w:val="false"/>
          <w:color w:val="000000"/>
          <w:sz w:val="28"/>
        </w:rPr>
        <w:t>
      3) төмен тәуекел дәрежесіне – тәуекел дәрежесінің көрсеткіші 0-ден 30-ды қоса алғанға дейін болған кезде және оған қатысты бақылау және қадағалау субъектісіне (объектісіне) бару арқылы профилактикалық бақылау жүргізілмейді.";</w:t>
      </w:r>
    </w:p>
    <w:bookmarkEnd w:id="15"/>
    <w:bookmarkStart w:name="z21" w:id="16"/>
    <w:p>
      <w:pPr>
        <w:spacing w:after="0"/>
        <w:ind w:left="0"/>
        <w:jc w:val="both"/>
      </w:pPr>
      <w:r>
        <w:rPr>
          <w:rFonts w:ascii="Times New Roman"/>
          <w:b w:val="false"/>
          <w:i w:val="false"/>
          <w:color w:val="000000"/>
          <w:sz w:val="28"/>
        </w:rPr>
        <w:t>
      13-2-тармақ мынадай редакцияда толықтырылсын:</w:t>
      </w:r>
    </w:p>
    <w:bookmarkEnd w:id="16"/>
    <w:p>
      <w:pPr>
        <w:spacing w:after="0"/>
        <w:ind w:left="0"/>
        <w:jc w:val="both"/>
      </w:pPr>
      <w:r>
        <w:rPr>
          <w:rFonts w:ascii="Times New Roman"/>
          <w:b w:val="false"/>
          <w:i w:val="false"/>
          <w:color w:val="000000"/>
          <w:sz w:val="28"/>
        </w:rPr>
        <w:t>
      "13-2.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both"/>
      </w:pPr>
      <w:r>
        <w:rPr>
          <w:rFonts w:ascii="Times New Roman"/>
          <w:b w:val="false"/>
          <w:i w:val="false"/>
          <w:color w:val="000000"/>
          <w:sz w:val="28"/>
        </w:rPr>
        <w:t xml:space="preserve">
      SC = </w:t>
      </w:r>
      <w:r>
        <w:rPr>
          <w:rFonts w:ascii="Times New Roman"/>
          <w:b w:val="false"/>
          <w:i w:val="false"/>
          <w:color w:val="000000"/>
          <w:sz w:val="28"/>
        </w:rPr>
        <w:t>S</w:t>
      </w:r>
      <w:r>
        <w:rPr>
          <w:rFonts w:ascii="Times New Roman"/>
          <w:b w:val="false"/>
          <w:i w:val="false"/>
          <w:color w:val="000000"/>
          <w:sz w:val="28"/>
        </w:rPr>
        <w:t>i n= 1xi * w1,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bookmarkStart w:name="z22" w:id="17"/>
    <w:p>
      <w:pPr>
        <w:spacing w:after="0"/>
        <w:ind w:left="0"/>
        <w:jc w:val="both"/>
      </w:pPr>
      <w:r>
        <w:rPr>
          <w:rFonts w:ascii="Times New Roman"/>
          <w:b w:val="false"/>
          <w:i w:val="false"/>
          <w:color w:val="000000"/>
          <w:sz w:val="28"/>
        </w:rPr>
        <w:t>
      Осы Өлшемшарттардың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17"/>
    <w:bookmarkStart w:name="z23" w:id="18"/>
    <w:p>
      <w:pPr>
        <w:spacing w:after="0"/>
        <w:ind w:left="0"/>
        <w:jc w:val="both"/>
      </w:pPr>
      <w:r>
        <w:rPr>
          <w:rFonts w:ascii="Times New Roman"/>
          <w:b w:val="false"/>
          <w:i w:val="false"/>
          <w:color w:val="000000"/>
          <w:sz w:val="28"/>
        </w:rPr>
        <w:t>
      13-3-тармақ мынадай редакцияда толықтырылсын:</w:t>
      </w:r>
    </w:p>
    <w:bookmarkEnd w:id="18"/>
    <w:p>
      <w:pPr>
        <w:spacing w:after="0"/>
        <w:ind w:left="0"/>
        <w:jc w:val="both"/>
      </w:pPr>
      <w:r>
        <w:rPr>
          <w:rFonts w:ascii="Times New Roman"/>
          <w:b w:val="false"/>
          <w:i w:val="false"/>
          <w:color w:val="000000"/>
          <w:sz w:val="28"/>
        </w:rPr>
        <w:t>
      "13-3.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both"/>
      </w:pPr>
      <w:r>
        <w:rPr>
          <w:rFonts w:ascii="Times New Roman"/>
          <w:b w:val="false"/>
          <w:i w:val="false"/>
          <w:color w:val="000000"/>
          <w:sz w:val="28"/>
        </w:rPr>
        <w:t xml:space="preserve">
      Rром - Rmin   R = _______________, где Rmax - Rminп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13-тармағына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толықтырылсын:</w:t>
      </w:r>
    </w:p>
    <w:p>
      <w:pPr>
        <w:spacing w:after="0"/>
        <w:ind w:left="0"/>
        <w:jc w:val="both"/>
      </w:pPr>
      <w:r>
        <w:rPr>
          <w:rFonts w:ascii="Times New Roman"/>
          <w:b w:val="false"/>
          <w:i w:val="false"/>
          <w:color w:val="000000"/>
          <w:sz w:val="28"/>
        </w:rPr>
        <w:t xml:space="preserve">
      "14.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профилактикалық бақылау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жабдықпен,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субъектілеріне (объектілеріне) бару арқылы профилактикалық бақылау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 (объектілерін) біліктілік талаптарына сәйкестігіне тексеру жүргізу үшін субъектілеріне қатысты қойылатын талаптардың бұзылу дәрежесі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субъективті өлшемшарттар бойынша тәуекел дәрежесін айқындауға арналған субъективті өлшемшарттар тізбесі осы Өлшемшарттарға 6-қосымшада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(бұдан әрі – МэВ) жоғары электрондарды үдеткіштермен, энергиясы 2 МэВ/нуклонға дейін иондарды үдеткіштермен, энергиясы 2 МэВ/нуклоннан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МэВ дейін электрондарды үдеткіштермен қызметін жүзеге асыратын және атом энергиясын пайдалану саласында қызметтер көрсететін субъектілерге қатысты субъективті өлшемшарттар бойынша тәуекел дәрежесін айқындауға арналған субъективті өлшемшарттар тізбесі осы Өлшемшарттарға 7-қосымшада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субъективті өлшемшарттар бойынша тәуекел дәрежесін айқындауға арналған субъективті өлшемшарттар тізбесі осы Өлшемшарттарға 8-қосымшада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тәуекел дәрежесін бағалау өлшемшарттарына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6, 7, 8-қосымшаларға сәйкес атом энергиясын пайдалану саласындағы тәуекел дәрежесін бағалау өлшемшарттарына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8-қосымшалармен</w:t>
      </w:r>
      <w:r>
        <w:rPr>
          <w:rFonts w:ascii="Times New Roman"/>
          <w:b w:val="false"/>
          <w:i w:val="false"/>
          <w:color w:val="000000"/>
          <w:sz w:val="28"/>
        </w:rPr>
        <w:t xml:space="preserve"> толықтырылсын.".</w:t>
      </w:r>
    </w:p>
    <w:bookmarkStart w:name="z34" w:id="19"/>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9"/>
    <w:bookmarkStart w:name="z35" w:id="2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0"/>
    <w:bookmarkStart w:name="z36" w:id="21"/>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21"/>
    <w:bookmarkStart w:name="z37" w:id="22"/>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22"/>
    <w:bookmarkStart w:name="z38" w:id="2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23"/>
    <w:bookmarkStart w:name="z39" w:id="2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 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 маусымдағы </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42" w:id="25"/>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профилактикалық бақылау жүргізу үшін субъектілерге қатысты қойылатын талаптардың бұзылу дәрежесі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(бұдан әрі –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қосылуы қалыпты пайдалану жүйелері жабдықтарының істен шығуына әкелмейтін ҚҚЖ-ның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БҚЖ тіркеу құралдарынан алынған деректер мынаны анықтау және тіркеу үшін жеткілікті: </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ЯЗҚ-тың ағымдағы жай-күйі туралы ақпаратты басқару пунктінің персоналына беруді қамтамасыз ететін оператордың ақпараттық қолдау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ЗР-ды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xml:space="preserve">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45" w:id="26"/>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жабдықпен,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субъектілеріне (объектілеріне) бару арқылы профилактикалық бақылау жүргізу үшін субъектілерге қатысты қойылатын талаптардың бұзылу дәрежесі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48" w:id="27"/>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 (объектілерін) біліктілік талаптарына сәйкестігіне тексеру жүргізу үшін субъектілеріне қатысты қойылатын талаптардың бұзылу дәрежесі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(бұдан әрі –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қосылуы қалыпты пайдалану жүйелері жабдықтарының істен шығуына әкелмейтін ҚҚЖ-ның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мынаны анықтау және тіркеу үшін жеткілікті:</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 пайдаланудың барлық режимдерінде жедел негізделген шешімдер қабылдау үшін көлемі мен сапасы жеткілікті болатын ЯЗҚ-тың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ЗР-ді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xml:space="preserve">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 </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 маусымдағы </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51" w:id="28"/>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54" w:id="29"/>
    <w:p>
      <w:pPr>
        <w:spacing w:after="0"/>
        <w:ind w:left="0"/>
        <w:jc w:val="left"/>
      </w:pPr>
      <w:r>
        <w:rPr>
          <w:rFonts w:ascii="Times New Roman"/>
          <w:b/>
          <w:i w:val="false"/>
          <w:color w:val="000000"/>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ИСК-нің болуы, орын ауыстыруы және орналасқан жері туралы жіберілген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ықтимал радиациялық қауіптілігі санатының атом энергиясын пайдалану саласындағы уәкілетті органмен келісуінің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жұмыстарды орындау үшін қажетті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 бар жеке немесе заңды тұлға берген аппараттың пайдалану параметрлеріне бақылау (сапаны бақылау) жүргізу хаттамасының болуы (ИСК генерациялайтын медициналық аспаптар мен қондырғыларды дайындау және пайдалану жөніндегі жұмыстарға ғана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параметр бойынша тестілеудің түрлері мен әдістемелерін, қолданылатын аспаптарды, сынақтардың кезеңділігін сипаттай отырып, тестілік сынақтар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шарттарын;</w:t>
            </w:r>
          </w:p>
          <w:p>
            <w:pPr>
              <w:spacing w:after="20"/>
              <w:ind w:left="20"/>
              <w:jc w:val="both"/>
            </w:pPr>
            <w:r>
              <w:rPr>
                <w:rFonts w:ascii="Times New Roman"/>
                <w:b w:val="false"/>
                <w:i w:val="false"/>
                <w:color w:val="000000"/>
                <w:sz w:val="20"/>
              </w:rPr>
              <w:t>
2) лауазымның функционалдық міндеттеріне сәйкес келетін біліктілігін және теориялық және практикалық даярлықтан өткенін растайтын құжаттардың (сертификаттардың, куәліктердің, куәліктердің) көшірмелерін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дәйекті тәртібін, жұмыстың шектері мен шарттарын айқындайтын жұмыстарды орындаудың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қызметтің (немесе жауапты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субъективті өлшемшарттар бойынша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w</w:t>
            </w:r>
            <w:r>
              <w:rPr>
                <w:rFonts w:ascii="Times New Roman"/>
                <w:b/>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(бұдан әрі – МэВ) жоғары электрондарды үдеткіштермен, энергиясы 2 МэВ/нуклонға дейін иондарды үдеткіштермен, энергиясы 2 МэВ/нуклоннан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МэВ дейін электрондарды үдеткіштермен қызметін жүзеге асыратын және атом энергиясын пайдалану саласында қызметтер көрсететін субъектілерге қатысты субъективті өлшемшарттар бойынша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w</w:t>
            </w:r>
            <w:r>
              <w:rPr>
                <w:rFonts w:ascii="Times New Roman"/>
                <w:b/>
                <w:i w:val="false"/>
                <w:color w:val="000000"/>
                <w:sz w:val="20"/>
              </w:rPr>
              <w:t>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206</w:t>
            </w:r>
            <w:r>
              <w:br/>
            </w:r>
            <w:r>
              <w:rPr>
                <w:rFonts w:ascii="Times New Roman"/>
                <w:b w:val="false"/>
                <w:i w:val="false"/>
                <w:color w:val="000000"/>
                <w:sz w:val="20"/>
              </w:rPr>
              <w:t>Бірлескен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8-қосымша</w:t>
            </w:r>
          </w:p>
        </w:tc>
      </w:tr>
    </w:tbl>
    <w:bookmarkStart w:name="z63" w:id="30"/>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субъективті өлшемшарттар бойынша тәуекел дәрежесін айқындауға арналған субъективті өлшемшарттар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w</w:t>
            </w:r>
            <w:r>
              <w:rPr>
                <w:rFonts w:ascii="Times New Roman"/>
                <w:b/>
                <w:i w:val="false"/>
                <w:color w:val="000000"/>
                <w:sz w:val="20"/>
              </w:rPr>
              <w:t>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