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df12" w14:textId="448d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Созакского района от 13 апреля 2018 года № 110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Созакского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17 мая 2022 года № 140. Утратило силу постановлением акимата Созакского района Туркестанской области от 9 октября 2023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Туркестанской области от 09.10.2023 № 272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10 декабря 2021 года № 230 "О внесении изменений в некоторые приказы Председателя Агентства Республики Казахстан по делам государственной службы и противодействию коррупции" зарегистрированного в Реестре государственной регистрации нормативных правовых актов № 25790 и к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24 декабря 2021 года № 247 "О внесении изменений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зарегистрированного в Реестре государственной регистрации нормативных правовых актов № 26167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Созакского района корпуса "Б" от 13 апреля 2018 года № 110 (зарегистрировано в государственном реестре нормативных правовых актов 4578)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корпуса "Б" аппарата акима Созакского района,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43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Оразова К.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Созакского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мая 2022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