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2b45" w14:textId="f4d2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30 марта 2018 года № 20-3 "Об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мая 2022 года № 22-5. Утратило силу решением Теректинского районного маслихата Западно-Казахстанской области от 17 октября 2023 года № 8-2.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Теректинского районного маслихата" от 30 марта 2018 года № 20-3 (зарегистрировано в Реестре государственной регистрации нормативных правовых актов за № 5145)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казахском языке не изменяется: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Теректинского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и определяет порядок оценки деятельности административных государственных служащих корпуса "Б" государственного учреждения "Аппарат Теректинского районного маслихата" (далее – служащие корпуса "Б").";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главный специалист, на которого возложено исполнение обязанностей службы управления персоналом (кадровой службой) государственного учреждения "Аппарат Теректинского районного маслихата" (далее - главный специалист).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Теректинского районного маслихата (Б.Кенжегулов).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