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f1d8" w14:textId="c82f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Уральского городского маслихата от 22 декабря 2022 года № 22-2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17 апреля 2023 года № 2-2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2022 года №22-2 "О городском бюджете на 2023-2025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49 533 715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22 364 514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437 555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13 906 514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12 825 132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47 357 630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2 176 085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- 2 176 085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7 872 981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10 528 359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479 293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2023 год предусмотрены целевые трансферты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7 457 757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6 457 757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и водоотведения – 900 000 тысяч тенге;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100 000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5 362 901 тысяча тенге: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436 800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76 631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115 594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– 844 230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лиц с инвалидностью – 1 035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– 1 044 096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квалификаций – 783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8 698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поколений" – 1 152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центру активного долголетия – 42 807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100 000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163 613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коммунального хозяйства – 86 783 тысячи тенге;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311 712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и водоотведения – 1 005 931 тысяча тенге;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 – 111 933 тысячи тенге;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1 011 103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7 872 981 тысяча тенге: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7 872 981 тысяча тенге.";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6 -1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городском бюджете на 2023 год предусмотрены целевые трансферты бюджетам поселков, сельского округа в общей сумме 1 299 454 тысячи тенге. Распределение указанных сумм бюджетам поселков, сельского округа осуществляется на основании постановления акимата города Уральска.";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22-2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22 364 514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10 654 027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4 287 907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13 906 514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12 825 132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47 357 630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23 801 645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14 715 964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14 505 351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7 873 981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6 631 370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-2 176 085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