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f1ba" w14:textId="3b7f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изменения в технический регламент Таможенного союза "Требования безопасности пищевых добавок, ароматизаторов и технологических вспомогательных средств" (ТР ТС 029/2012)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ноября 2014 года № 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производство и выпуск в обращение в соответствии с обязательными требованиями, установленными техническим регламентом Таможенного союза «Требования безопасности пищевых добавок, ароматизаторов и технологических вспомогательных средств» (ТР ТС 029/2012), такой пищевой продукции для детского питания для детей раннего возраста, как последующие смеси для здоровых детей старше 4 месяцев, которая содержит этилванилин (таблица 2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регламенту) и в отношении которой имеются сведения о государственной регистрации в качестве специализированной пищевой продукции, проведенной до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сентября 2014 г. № 69 «О внесении изменения в технический регламент Таможенного союза «Требования безопасности пищевых добавок, ароматизаторов и технологических вспомогательных средств» (ТР ТС 029/2012)», допускаются до 6 апреля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Обращение продукции, указанной в пункте 1 настоящего Решения, допускается в течение срока годности такой продукции, установленного ее изготовителем.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