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ea8e9" w14:textId="d6ea8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плане мероприятий по реализации Основных направлений развития механизма "единого окна" в системе регулирования внешнеэкономической деятельности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Высшего Евразийского экономического совета от 8 мая 2015 года № 19.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Приняв к сведению информацию Евразийской экономической комиссии о ходе работы по реализации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Высшего Евразийского экономического совета от 29 мая 2014 г. № 68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Основных направлениях развития механизма "единого окна" в системе регулирования внешнеэкономической деятельности", Высший Евразийский экономический совет решил: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план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мероприятий по реализации Основных направлений развития механизма "единого окна" в системе регулирования внешнеэкономической деятельности.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Правительствам государств – членов Евразийского экономического союза и Евразийской экономической комиссии обеспечить реализацию и финансирование мероприятий, предусмотренных планом, утвержденным настоящим Решением.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Евразийской экономической комиссии обеспечить ежегодно разработку и утверждение Советом Евразийской экономической комиссии детализированного плана по выполнению плана мероприятий по реализации Основных направлений развития механизма "единого окна" в системе регулирования внешнеэкономической деятельности.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Члены Высшего Евразийского экономического совета: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Армения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От Республики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Высшего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Евразийского экономического совета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мая 2015 г. № 19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</w:t>
      </w:r>
      <w:r>
        <w:br/>
      </w:r>
      <w:r>
        <w:rPr>
          <w:rFonts w:ascii="Times New Roman"/>
          <w:b/>
          <w:i w:val="false"/>
          <w:color w:val="000000"/>
        </w:rPr>
        <w:t>мероприятий по реализации Основных направлений развития</w:t>
      </w:r>
      <w:r>
        <w:br/>
      </w:r>
      <w:r>
        <w:rPr>
          <w:rFonts w:ascii="Times New Roman"/>
          <w:b/>
          <w:i w:val="false"/>
          <w:color w:val="000000"/>
        </w:rPr>
        <w:t>механизма "единого окна" в системе регулирования</w:t>
      </w:r>
      <w:r>
        <w:br/>
      </w:r>
      <w:r>
        <w:rPr>
          <w:rFonts w:ascii="Times New Roman"/>
          <w:b/>
          <w:i w:val="false"/>
          <w:color w:val="000000"/>
        </w:rPr>
        <w:t>внешнеэкономической деятельности</w:t>
      </w:r>
      <w:r>
        <w:br/>
      </w:r>
      <w:r>
        <w:rPr>
          <w:rFonts w:ascii="Times New Roman"/>
          <w:b/>
          <w:i w:val="false"/>
          <w:color w:val="000000"/>
        </w:rPr>
        <w:t>I. Введение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Настоящий план разработан во исполнение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Высшего Евразийского экономического совета от 29 мая 2014 г. № 68 "Об Основных направлениях развития механизма "единого окна" в системе регулирования внешнеэкономической деятельности" и основывается на положениях Договора о Евразийском экономическом союзе от 29 мая 2014 года (далее – Договор о Союзе), международных договоров и актов в области внешнеэкономической деятельности, составляющих право Евразийского экономического союза (далее - Союз), а также нормах, правилах и принципах Всемирной торговой организации, международных рекомендациях Организации Объединенных Наций и Всемирной таможенной организации.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план является логическим продолжением проводимой в государствах – членах Союза (далее – государства-члены) политики по совершенствованию системы регулирования внешнеэкономической деятельности, внедрению современных информационных технологий, направленных на упрощение процедур международной торговли.</w:t>
      </w:r>
    </w:p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II. Определения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целей настоящего плана используются понятия, которые означают следующее: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"бизнес-процесс" – набор взаимосвязанных и структурированных действий, направленных на достижение определенного результата в сфере внешнеэкономической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"взаимное признание документов" – признание и использование в одном государстве-члене необходимых для осуществления внешнеэкономической деятельности электронных документов, формируемых уполномоченными органами (организациями) другого государства-члена;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"гармонизация сведений" – сбор, определение, анализ и согласование требований к информации, содержащейся в электронных документах и бумажных копиях электронных документов, используемых в одних и тех же областях применения, с целью повышения сопоставимости таких документов с точки зрения содержания и формата;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"государственные процедуры" – деятельность государственных органов государств-членов в соответствии с их компетенцией, связанная с регулированием правоотношений в сфере внешнеэкономической деятельности, при осуществлении государственных функций (административных процедур) и предоставлении государственных услуг заинтересованным лицам;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"механизм "единого окна" – механизм взаимодействия между государственными органами, регулирующими внешнеэкономическую деятельность, и участниками внешнеэкономической деятельности, который позволяет участникам внешнеэкономической деятельности однократно представлять документы в стандартизированном виде через единый пропускной канал для последующего использования заинтересованными государственными органами и иными организациями в соответствии с их компетенцией при проведении контроля за осуществлением внешнеэкономической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"разрешительные документы" – документы, выдаваемые государственными органами и (или) уполномоченными государством организациями (далее – уполномоченные организации), наличие которых необходимо для осуществления внешнеэкономической деятельности и совершения отдельных юридически значимых действий при осуществлении экспортных, импортных и транзитных операций;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"стандартизированный вид документов" – документ в электронном виде, оформляемый в соответствии с гармонизированными и унифицированными структурой и форматами, имеющий равную юридическую силу с аналогичным документом на бумажном носителе;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"унификация сведений" – определение и согласование набора сведений, содержащихся в электронных документах и бумажных копиях электронных документов, по областям применения на основании стандартов, методик и рекомендаций, применяемых в международной торговле;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"экспортные, импортные и транзитные операции" – все виды внешнеэкономических операций, связанных с вывозом товаров с таможенной территории Союза, ввозом товаров на такую территорию и их перевозкой через таможенную территорию Союза;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"электронная коммерция" – совокупность технических и организационных форм совершения финансовых и торговых транзакций, осуществляемых с использованием электронных систем.</w:t>
      </w:r>
    </w:p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III. Цель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Целью реализации настоящего плана является формирование организационно-правовых и технических основ для создания условий развития и сближения национальных механизмов "единого окна",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также организации их взаимодействия на наднациональном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уровне при построении эффективной системы регулирования внешнеэкономической деятельности на территории Союза.</w:t>
      </w:r>
    </w:p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IV. Задачи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Цель настоящего плана достигается путем решения следующих задач: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содействие развитию национальных механизмов "единого окна";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сближения подходов по развитию национальных механизмов "единого окна";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взаимного признания, унификации, стандартизации и гармонизации электронных документов, необходимых для осуществления внешнеэкономической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информационного взаимодействия национальных механизмов "единого окна";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координация действий по реализации Основных направлений развития механизма "единого окна" в системе регулирования внешнеэкономической деятельности (далее – Основные направления). </w:t>
      </w:r>
    </w:p>
    <w:bookmarkStart w:name="z1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V. Общее описание эталонной модели</w:t>
      </w:r>
      <w:r>
        <w:br/>
      </w:r>
      <w:r>
        <w:rPr>
          <w:rFonts w:ascii="Times New Roman"/>
          <w:b/>
          <w:i w:val="false"/>
          <w:color w:val="000000"/>
        </w:rPr>
        <w:t>национального механизма "единого окна"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Эталонная модель национального механизма "единого окна"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(далее – эталонная модель) является инструментом упрощения процедур международной торговли с целью оптимизации государственных процедур, связанных с внешнеэкономической деятельностью, и создания условий для осуществления электронных операций и электронной коммерции. Эталонная модель призвана обеспечить переход на качественно новый уровень развития национальных механизмов "единого окна", создание условий для снижения транзакционных издержек лиц, осуществляющих внешнеэкономическую деятельность и оказывающих услуги в данной области (далее – заинтересованные лица), и сокращение административных издержек в работе государственных органов государств-членов, регулирующих внешнеэкономическую деятельность (далее – государственные органы).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Эталонная модель представляет собой инновационный трансграничный интеллектуальный механизм, который позволяет заинтересованным лицам получать комплекс услуг для совершения экспортных, импортных и транзитных операций в ходе взаимодействия с государственными органами и (или) уполномоченными организациями государств-членов.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Эталонная модель учитывает положения международных стандартов Всемирной таможенной организации и рекомендаций Организации Объединенных Наций, интегрирует опыт построения современных моделей механизма "единого окна", используя прогрессивные организационно-правовые, технические и технологические решения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.Эталонная модель имеет ряд характерных особенностей.</w:t>
      </w:r>
    </w:p>
    <w:bookmarkStart w:name="z1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Однократное представление документов</w:t>
      </w:r>
      <w:r>
        <w:br/>
      </w:r>
      <w:r>
        <w:rPr>
          <w:rFonts w:ascii="Times New Roman"/>
          <w:b/>
          <w:i w:val="false"/>
          <w:color w:val="000000"/>
        </w:rPr>
        <w:t>и (или) сведений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Заинтересованные лица должны иметь возможность однократно представлять документы и (или) сведения в стандартизированном виде через единый пропускной канал для последующего использования всеми заинтересованными государственными органами, при этом ранее представленные документы и (или) сведения повторно не представляются, за исключением случая, когда такие документы и (или) сведения имеют ограниченный срок действия.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в представленных документах и (или) сведениях недостаточно информации для принятия решения государственными органами и (или) уполномоченными организациями государств-членов, заинтересованные лица по запросу таких органов и (или) организаций повторно представляют только недостающие сведения.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Необходимые для осуществления внешнеэкономической деятельности документы и (или) сведения, представляемые в виде электронных документов, могут не являться точной копией документа на бумажном носителе.</w:t>
      </w:r>
    </w:p>
    <w:bookmarkStart w:name="z1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Широкий спектр услуг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Заинтересованным лицам должен быть предоставлен широкий спектр услуг на всех этапах цепи поставки товаров с момента регистрации заинтересованных лиц до выпуска товаров и последующего аудита хозяйственной деятельности. </w:t>
      </w:r>
    </w:p>
    <w:bookmarkStart w:name="z14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Интеллектуальный механизм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Эталонная модель является инструментом предоставления услуг ее пользователям. Такой механизм универсален, способен в режиме реального времени оказывать комплекс услуг, оперативно обрабатывать и анализировать документы и (или) сведения, представленные заинтересованными лицами, перераспределять их между государственными органами и (или) уполномоченными организациями государств-членов исходя из запрашиваемых услуг, информировать заинтересованных лиц о ходе рассмотрения заявок, оценивать риски, выдавать решения.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Интеллектуальный механизм позволяет заинтересованным лицам получать необходимую информацию о лицах, предоставляющих услуги в сфере внешнеэкономической деятельности, мерах регулирования, производить расчеты и электронную уплату таможенных и иных платежей, формировать отчетность и получать статистические данные.</w:t>
      </w:r>
    </w:p>
    <w:bookmarkStart w:name="z15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Гибкость и прозрачность предоставляемых услуг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рамках функционирования национального механизма "единого окна" заинтересованные лица должны иметь возможность создавать "личные кабинеты", иметь комплексное представление о совершаемых экспортных, импортных и транзитных операциях на всех этапах цепи поставки товаров.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Национальный механизм "единого окна" должен позволять заинтересованным лицам с помощью "личного кабинета" получать услуги, предоставляемые в рамках национальных механизмов "единого окна" других государств-членов, с использованием технологических и информационных инноваций.</w:t>
      </w:r>
    </w:p>
    <w:bookmarkStart w:name="z16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Обеспечение различных уровней информационного взаимодействия</w:t>
      </w:r>
      <w:r>
        <w:br/>
      </w:r>
      <w:r>
        <w:rPr>
          <w:rFonts w:ascii="Times New Roman"/>
          <w:b/>
          <w:i w:val="false"/>
          <w:color w:val="000000"/>
        </w:rPr>
        <w:t>пользователей национального механизма "единого окна"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Эталонная модель позволяет обеспечивать информационное взаимодействие между заинтересованными лицами, государственными органами и уполномоченными организациями государств-членов, межведомственное информационное взаимодействие, информационное взаимодействие заинтересованных лиц между собой при совершении экспортных, импортных и транзитных операций, а также информационное взаимодействие национальных механизмов "единого окна".</w:t>
      </w:r>
    </w:p>
    <w:bookmarkStart w:name="z17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Высокая степень доверия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Эталонная модель должна обеспечивать высокую степень доверия пользователей, способствовать установлению отношений доверия между заинтересованными лицами, государственными органами и уполномоченными организациями государств-членов.</w:t>
      </w:r>
    </w:p>
    <w:bookmarkStart w:name="z18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Сфера охвата эталонной модели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Эталонная модель охватывает: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сферы государственного регулирования: сфера таможенного, валютного, налогового, таможенно-тарифного, нетарифного, технического регулирования, сфера применения санитарных, ветеринарно-санитарных, карантинных фитосанитарных мер, сфера регулирования финансовых услуг (банковских, страховых), транспорта и перевозок, охраны и защиты прав интеллектуальной собственности;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виды деятельности: внешнеторговая, деятельность по предоставлению транспортных и логистических услуг, финансовых услуг (банковских, страховых), а также деятельность в сфере таможенного дела;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субъекты: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государственные органы государств-членов: в области таможенного дела, налогообложения, таможенно-тарифного и нетарифного регулирования; государственные органы государств-членов, осуществляющие: выдачу разрешительных документов, связанных с внешнеэкономической деятельностью, транспортный контроль, санитарный, ветеринарно-санитарный, карантинный фитосанитарный контроль (надзор), контроль (надзор) за соблюдением требований технических регламентов, экспортный, радиационный, валютный и другие виды государственного контроля;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организации, уполномоченные на выдачу разрешительных документов, в том числе торгово-промышленные палаты, органы по сертификации и испытательные лаборатории (центры), осуществляющие работу в области оценки (подтверждения) соответствие требованиям технических регламентов Союза;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заинтересованные лица: юридические лица, индивидуальные предприниматели, осуществляющие внешнеэкономическую деятельность; лица, осуществляющие деятельность в сфере таможенного дела (таможенные представители, таможенные перевозчики, владельцы складов временного хранения, владельцы таможенных складов, владельцы свободных складов, владельцы магазинов беспошлинной торговли); уполномоченные экономические операторы; транспортно-экспедиторские, логистические компании, перевозчики, экспресс-перевозчики; администрации воздушных портов, автомобильных и железнодорожных пунктов пропуска; банки и страховые организации; патентные организации (патентные поверенные), операторы почтовой связи и иные организации.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Детальное описание функций и архитектуры эталонной модели, перечень государственных процедур и услуг, охватываемых эталонной моделью, разрабатываются по результатам проведения оценки и анализа состояния проектов, направленных на разработку и создание национальных механизмов "единого окна" в государствах-членах.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Эталонную модель целесообразно создавать в соответствии со структурой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№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Start w:name="z19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VI. Информационное взаимодействие в рамках функционирования национальных механизмов "единого окна"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Информационное взаимодействие в рамках функционирования национальных механизмов "единого окна" государственных органов и уполномоченных организаций государств-членов осуществляется с использованием интегрированной информационной системы Евразийского экономического союза (далее – интегрированная система) в соответствии с утверждаемыми Евразийской экономической комиссией (далее – Комиссия) регламентами взаимодействия и должно соответствовать нормам права Союза, в частности, положениям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статьи 23 Договора о Союзе.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Развитие информационного взаимодействия между национальными механизмами "единого окна" осуществляется путем оптимизации перечня общих процессов в рамках Союза, реализуемых с использованием интегрированной системы.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Разработка структур электронных документов, используемых в рамках функционирования национальных механизмов "единого окна", осуществляется на основе общей модели данных, создаваемой на основе и с учетом международных стандартов.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Информационное взаимодействие в рамках функционирования национальных механизмов "единого окна" базируется на следующих принципах: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возможность использования информации, полученной от заинтересованных лиц через национальный механизм "единого окна" одного государства-члена, заинтересованными государственными органами других государств-членов в соответствии с их компетенцией;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обмена электронными документами, содержащими актуальные, унифицированные и гармонизированные сведения, достаточные для совершения экспортных, импортных и транзитных операций;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возможность подключения на равных условиях к информационному взаимодействию в рамках функционирования национальных механизмов "единого окна" новых государств-членов;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возможность организации информационного взаимодействия в рамках функционирования национальных механизмов "единого окна" государств, не являющихся членами Союза, по принципу "экспорт одного государства – импорт в другом государстве".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Описание функциональной модели информационного взаимодействия в рамках функционирования национальных механизмов "единого окна" разрабатывается по результатам проведения мониторинга процессов межведомственного информационного взаимодействия.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Мероприятия по защите информации в рамках функционирования национальных механизмов "единого окна" проводятся в соответствии с планами создания и развития интегрированной системы. Настоящим планом указанные мероприятия не предусмотрены.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Создание и обеспечение функционирования общей инфраструктуры документирования информации в электронном виде и трансграничного пространства доверия осуществляются в рамках работ и в соответствии с планами создания и развития интегрированной системы.</w:t>
      </w:r>
    </w:p>
    <w:bookmarkStart w:name="z20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VII. Сроки и этапы реализации плана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план разработан на 6-летний период,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2015 по 2020 год включительно. Ежегодно разрабатываются детализированные планы. Каждый последующий детализированный план учитывает результаты выполнения предыдущего детализированного плана.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настоящий план и детализированные планы могут вноситься изменения с учетом внутренних и внешних факторов, существенно влияющих на своевременное и качественное выполнение соответствующих мероприятий.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Реализация настоящего плана осуществляется поэтапно в соответствии с сетевым графиком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№ 2</w:t>
      </w:r>
      <w:r>
        <w:rPr>
          <w:rFonts w:ascii="Times New Roman"/>
          <w:b w:val="false"/>
          <w:i w:val="false"/>
          <w:color w:val="000000"/>
          <w:sz w:val="28"/>
        </w:rPr>
        <w:t>. В целях обеспечения оптимального распределения ресурсов и своевременного исполнения мероприятий настоящего плана мероприятия, отнесенные к различным этапам, могут выполняться параллельно.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план реализуется с учетом следующих этапов: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подготовительный этап;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этап разработки;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этап реализации;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этап мониторинга и оценки достигнутых результатов.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подготовительном этапе определяется организационный механизм выполнения настоящего плана, проводится анализ текущего состояния проектов, направленных на создание национальных механизмов "единого окна", определяются необходимые организационно-правовые, технологические и технические требования по созданию и (или) развитию национальных механизмов "единого окна", а также оцениваются перспективы их сближения.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данном этапе также осуществляется оценка возможных финансовых затрат на развитие национальных механизмов "единого окна" и обеспечение информационного взаимодействия в рамках их функционирования, которые учитываются при принятии решений.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итогам проведенного анализа формируются заключения по созданию и (или) развитию национальных механизмов "единого окна", сближению подходов по их развитию.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этапе разработки на основе заключений, сформированных на подготовительном этапе, готовятся предложения по оптимизации государственных процедур, связанных с внешнеэкономической деятельностью, и бизнес-процессов, унификации состава сведений, включаемых в электронные документы, необходимые для осуществления внешнеэкономической деятельности, а также разрабатываются и принимаются решения и рекомендации по сближению или развитию национальных механизмов "единого окна", совершенствованию положений актов, входящих в право Союза, регулирующих внешнеэкономическую деятельность, и законодательства государств-членов, в том числе утверждается детальное описание функций и архитектуры эталонной модели, перечень государственных процедур и услуг, охватываемых эталонной моделью.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подготовке указанных решений и рекомендаций учитываются предложения бизнес-сообщества государств-членов.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рамках данного этапа могут вноситься изменения в принятые документы на основе предложений, сформированных по результатам мониторинга и оценки достигнутых результатов.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этапе реализации принимаются решения по внедрению или развитию национальных механизмов "единого окна", обеспечению надлежащего информационного взаимодействия посредством интегрированной системы, а также реализуется комплекс организационно-технологических, правовых и технических мероприятий, обеспечивающих осуществление взаимного признания, унификации, стандартизации и гармонизации электронных документов, необходимых для осуществления внешнеэкономической деятельности, и их использование государственными органами и (или) уполномоченными организациями государств-членов.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данном этапе также проводится популяризация работы по сближению или развитию национальных механизмов "единого окна": работа со средствами массовой информации, организация открытых дискуссий, семинаров, конференций по вопросам реализации Основных направлений и настоящего плана.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этапе мониторинга и оценки достигнутых результатов постоянно осуществляется анализ достигнутых результатов на основе установленных целевых индикаторов (значений) и показателей, по результатам которого подготавливаются предложения о внесении изменений в настоящий план, корректировке объемов финансирования, изменении целевых индикаторов (значений) и показателей.</w:t>
      </w:r>
    </w:p>
    <w:bookmarkStart w:name="z21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VIII. Источники финансирования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Финансовое обеспечение мероприятий осуществляется за счет бюджетов государств-членов и бюджета Союза, а также за счет внебюджетных источников.</w:t>
      </w:r>
    </w:p>
    <w:bookmarkStart w:name="z22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IX. Показатели результативности и эффективности</w:t>
      </w:r>
      <w:r>
        <w:br/>
      </w:r>
      <w:r>
        <w:rPr>
          <w:rFonts w:ascii="Times New Roman"/>
          <w:b/>
          <w:i w:val="false"/>
          <w:color w:val="000000"/>
        </w:rPr>
        <w:t>исполнения плана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настоящем плане предусмотрена двухуровневая система показателей результативности и эффективности выполнения мероприятий: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первый уровень – показатели результативности (показатели непосредственного результата);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второй уровень – показатели эффективности (показатели конечного эффекта).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Показателями результативности выполнения мероприятий (ежегодно и в целом по плану нарастающим итогом) являются: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доля выполненных мероприятий (подготовленное и принятое решение, рекомендация Комиссии, проект документа, принятый документ и др.) от общего количества мероприятий, предусмотренных настоящим планом и детализированными планами;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доля мероприятий, выполненных своевременно, от общего количества мероприятий, срок выполнения которых наступил.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невыполненным и несвоевременно выполненным мероприятиям должно быть представлено обоснование объективных причин их невыполнения или несвоевременного выполнения.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Показателями эффективности выполнения мероприятий, характеризующими положительные последствия развития национальных механизмов "единого окна" для государственных органов и бизнес-сообщества государств-членов, являются: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доля необходимых участнику внешнеэкономической деятельности для перемещения товаров через таможенную границу Союза документов, представляемых в электронном виде;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предельное время прохождения государственных процедур, связанных с внешнеэкономической деятельностью (отдельно по экспортным, импортным и транзитным операциям);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доля участников внешнеэкономической деятельности, оценивающих качество услуг, предоставляемых в рамках функционирования национального механизма "единого окна", как удовлетворительное, от общего количества участников внешнеэкономической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доля форм отчетности, представляемых в электронном виде при выполнении государственных процедур, связанных с внешнеэкономической деятельностью;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уменьшение объема административных издержек предпринимателей (трудовых, временных и финансовых затрат на осуществление государственных процедур, связанных с внешнеэкономической деятельностью).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Базовые и ежегодные целевые индикаторы (значения) показателей эффективности выполнения настоящего плана, а также методика их расчета утверждаются Комиссией.</w:t>
      </w:r>
    </w:p>
    <w:bookmarkStart w:name="z23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Х. Возможные риски при реализации плана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ходе реализации настоящего плана могут возникнуть риски, связанные с отсутствием единообразного понимания конечной цели и шагов по его реализации, недостаточной координацией между государственными органами, уполномоченными организациями государств-членов и Комиссией, принятием в Комиссии и (или) государствах-членах решений, не учитывающих положения Основных направлений в части приоритета применения электронных документов, недостаточным финансированием, ресурсным обеспечением мероприятий по реализации настоящего плана.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Указанные риски могут быть минимизированы путем своевременного выявления и принятия соответствующих управленческих решений.</w:t>
      </w:r>
    </w:p>
    <w:bookmarkStart w:name="z24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XI. Организационный механизм, </w:t>
      </w:r>
      <w:r>
        <w:br/>
      </w:r>
      <w:r>
        <w:rPr>
          <w:rFonts w:ascii="Times New Roman"/>
          <w:b/>
          <w:i w:val="false"/>
          <w:color w:val="000000"/>
        </w:rPr>
        <w:t>обеспечивающий реализацию плана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Организационный механизм на наднациональном уровне, обеспечивающий реализацию настоящего плана, основан на структуре органов Союза, предусмотренной Договором о Союзе.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Совет Комиссии принимает решения по стратегическим вопросам реализации настоящего плана, в том числе по системным вопросам, утверждению и финансированию ежегодных детализированных планов.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Коллегия Комиссии принимает решения и рекомендации, предусмотренные настоящим планом.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Коллегией Комиссии создается рабочая группа по реализации настоящего плана под руководством одного из членов Коллегии Комиссии.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Указанная рабочая группа обеспечивает общую координацию и мониторинг исполнения настоящего плана, готовит предложения в виде проектов актов органов Союза, осуществляет разработку проектов ежегодных детализированных планов, рассматривает отчеты об исполнении настоящего плана.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национальном уровне в государствах-членах создается координирующие (совещательные) органы, уполномоченные на реализацию настоящего плана, в состав которых включаются руководители государственных органов, а также представители бизнес-сообщества. Такие координирующие (совещательные) органы обеспечивают представление государственным органам предложений по созданию и развитию национальных механизмов "единого окна" в рамках реализации настоящего плана.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государственный орган, ответственный за реализацию Основных направлений, осуществляет организацию деятельности национального координирующего (совещательного) органа.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целью координации выполнения настоящего плана национальные координирующие (совещательные) органы и рабочая группа осуществляют взаимодействие.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Схема организационного механизма, обеспечивающего реализацию настоящего плана, приведена в </w:t>
      </w:r>
      <w:r>
        <w:rPr>
          <w:rFonts w:ascii="Times New Roman"/>
          <w:b w:val="false"/>
          <w:i w:val="false"/>
          <w:color w:val="000000"/>
          <w:sz w:val="28"/>
        </w:rPr>
        <w:t>приложении № 3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Start w:name="z25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XII. Перечень мероприятий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0"/>
        <w:gridCol w:w="1940"/>
        <w:gridCol w:w="1940"/>
        <w:gridCol w:w="1940"/>
        <w:gridCol w:w="1940"/>
        <w:gridCol w:w="1940"/>
        <w:gridCol w:w="1940"/>
      </w:tblGrid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мероприятия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год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год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24"/>
        <w:gridCol w:w="1212"/>
        <w:gridCol w:w="1212"/>
        <w:gridCol w:w="1213"/>
        <w:gridCol w:w="1213"/>
        <w:gridCol w:w="1213"/>
        <w:gridCol w:w="1213"/>
      </w:tblGrid>
      <w:tr>
        <w:trPr>
          <w:trHeight w:val="30" w:hRule="atLeast"/>
        </w:trPr>
        <w:tc>
          <w:tcPr>
            <w:tcW w:w="0" w:type="auto"/>
            <w:gridSpan w:val="7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Развитие национальных механизмов "единого окна"</w:t>
            </w:r>
          </w:p>
        </w:tc>
      </w:tr>
      <w:tr>
        <w:trPr>
          <w:trHeight w:val="30" w:hRule="atLeast"/>
        </w:trPr>
        <w:tc>
          <w:tcPr>
            <w:tcW w:w="50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 Сравнение терминов, используемых в описании механизма "единого окна" в законодательстве государств-членов и международной практике</w:t>
            </w:r>
          </w:p>
        </w:tc>
        <w:tc>
          <w:tcPr>
            <w:tcW w:w="12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кв.</w:t>
            </w:r>
          </w:p>
        </w:tc>
        <w:tc>
          <w:tcPr>
            <w:tcW w:w="12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2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2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2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2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50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 Согласование подходов государств-членов к моделированию и анализу государственных процедур и бизнес-процессов, связанных с внешнеэкономической деятельностью</w:t>
            </w:r>
          </w:p>
        </w:tc>
        <w:tc>
          <w:tcPr>
            <w:tcW w:w="12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кв.</w:t>
            </w:r>
          </w:p>
        </w:tc>
        <w:tc>
          <w:tcPr>
            <w:tcW w:w="12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2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2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2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2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50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 Разработка методики оценки состояния развития национальных механизмов "единого окна"</w:t>
            </w:r>
          </w:p>
        </w:tc>
        <w:tc>
          <w:tcPr>
            <w:tcW w:w="12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кв.</w:t>
            </w:r>
          </w:p>
        </w:tc>
        <w:tc>
          <w:tcPr>
            <w:tcW w:w="12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2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2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2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2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50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1.4. Проведение анализа состояния развития национальных механизмов "единого окна" в соответствии с разработанной методикой</w:t>
            </w:r>
          </w:p>
        </w:tc>
        <w:tc>
          <w:tcPr>
            <w:tcW w:w="12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кв.</w:t>
            </w:r>
          </w:p>
        </w:tc>
        <w:tc>
          <w:tcPr>
            <w:tcW w:w="12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I-II кв.</w:t>
            </w:r>
          </w:p>
        </w:tc>
        <w:tc>
          <w:tcPr>
            <w:tcW w:w="12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2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2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2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50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1.5. Сбор и обобщение результатов оценки состояния развития национальных механизмов "единого окна". Разработка заключений по каждому государству-члену по оптимизации государственных процедур и бизнес-процессов, связанных с внешнеэкономической деятельностью, а также по развитию национальных механизмов "единого окна"</w:t>
            </w:r>
          </w:p>
        </w:tc>
        <w:tc>
          <w:tcPr>
            <w:tcW w:w="12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кв.</w:t>
            </w:r>
          </w:p>
        </w:tc>
        <w:tc>
          <w:tcPr>
            <w:tcW w:w="12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I-II кв.</w:t>
            </w:r>
          </w:p>
        </w:tc>
        <w:tc>
          <w:tcPr>
            <w:tcW w:w="12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2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2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2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50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1.6. Разработка и утверждение детального описания функций и архитектуры эталонной модели национального механизма "единого окна", перечня государственных процедур и услуг, охватываемых этой эталонной моделью, с учетом наднационального сегмента</w:t>
            </w:r>
          </w:p>
        </w:tc>
        <w:tc>
          <w:tcPr>
            <w:tcW w:w="12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кв.</w:t>
            </w:r>
          </w:p>
        </w:tc>
        <w:tc>
          <w:tcPr>
            <w:tcW w:w="12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I-II кв.</w:t>
            </w:r>
          </w:p>
        </w:tc>
        <w:tc>
          <w:tcPr>
            <w:tcW w:w="12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2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2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2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50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1.7. Разработка, внедрение и оптимизация национальных механизмов "единого окна"</w:t>
            </w:r>
          </w:p>
        </w:tc>
        <w:tc>
          <w:tcPr>
            <w:tcW w:w="12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</w:t>
            </w:r>
          </w:p>
        </w:tc>
        <w:tc>
          <w:tcPr>
            <w:tcW w:w="12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I-IV кв.</w:t>
            </w:r>
          </w:p>
        </w:tc>
        <w:tc>
          <w:tcPr>
            <w:tcW w:w="12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I-IV кв.</w:t>
            </w:r>
          </w:p>
        </w:tc>
        <w:tc>
          <w:tcPr>
            <w:tcW w:w="12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I-IV кв.</w:t>
            </w:r>
          </w:p>
        </w:tc>
        <w:tc>
          <w:tcPr>
            <w:tcW w:w="12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I-III кв.</w:t>
            </w:r>
          </w:p>
        </w:tc>
        <w:tc>
          <w:tcPr>
            <w:tcW w:w="12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Сближение подходов по развитию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национальных механизмов "единого окна"</w:t>
            </w:r>
          </w:p>
        </w:tc>
      </w:tr>
      <w:tr>
        <w:trPr>
          <w:trHeight w:val="30" w:hRule="atLeast"/>
        </w:trPr>
        <w:tc>
          <w:tcPr>
            <w:tcW w:w="50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 Определение приоритетных направлений сближения подходов по развитию национальных механизмов "единого окна"</w:t>
            </w:r>
          </w:p>
        </w:tc>
        <w:tc>
          <w:tcPr>
            <w:tcW w:w="12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III-IV кв.</w:t>
            </w:r>
          </w:p>
        </w:tc>
        <w:tc>
          <w:tcPr>
            <w:tcW w:w="12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2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2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2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2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50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 Оценка и мониторинг развития национальных механизмов "единого окна", подготовка рекомендаций по внесению необходимых изменений в работу национальных механизмов "единого окна" с учетом пункта 1.5 настоящего перечня</w:t>
            </w:r>
          </w:p>
        </w:tc>
        <w:tc>
          <w:tcPr>
            <w:tcW w:w="12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2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2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кв.</w:t>
            </w:r>
          </w:p>
        </w:tc>
        <w:tc>
          <w:tcPr>
            <w:tcW w:w="12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кв.</w:t>
            </w:r>
          </w:p>
        </w:tc>
        <w:tc>
          <w:tcPr>
            <w:tcW w:w="12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кв.</w:t>
            </w:r>
          </w:p>
        </w:tc>
        <w:tc>
          <w:tcPr>
            <w:tcW w:w="12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кв.</w:t>
            </w:r>
          </w:p>
        </w:tc>
      </w:tr>
      <w:tr>
        <w:trPr>
          <w:trHeight w:val="30" w:hRule="atLeast"/>
        </w:trPr>
        <w:tc>
          <w:tcPr>
            <w:tcW w:w="50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 Внесение изменений в функционирование национальных механизмов "единого окна" в соответствии с рекомендациями</w:t>
            </w:r>
          </w:p>
        </w:tc>
        <w:tc>
          <w:tcPr>
            <w:tcW w:w="12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2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2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кв.</w:t>
            </w:r>
          </w:p>
        </w:tc>
        <w:tc>
          <w:tcPr>
            <w:tcW w:w="12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кв.</w:t>
            </w:r>
          </w:p>
        </w:tc>
        <w:tc>
          <w:tcPr>
            <w:tcW w:w="12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кв.</w:t>
            </w:r>
          </w:p>
        </w:tc>
        <w:tc>
          <w:tcPr>
            <w:tcW w:w="12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кв.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Взаимное признание электронных документов, необходимых для осуществления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внешнеэкономической деятельности</w:t>
            </w:r>
          </w:p>
        </w:tc>
      </w:tr>
      <w:tr>
        <w:trPr>
          <w:trHeight w:val="30" w:hRule="atLeast"/>
        </w:trPr>
        <w:tc>
          <w:tcPr>
            <w:tcW w:w="50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 Анализ документов и сведений, необходимых для осуществления внешнеэкономической деятельности, и оценка необходимости внесения изменений в акты, входящие в право Союза, и законодательство государств-членов с целью унификации и гармонизации сведений из документов</w:t>
            </w:r>
          </w:p>
        </w:tc>
        <w:tc>
          <w:tcPr>
            <w:tcW w:w="12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II-IV кв.</w:t>
            </w:r>
          </w:p>
        </w:tc>
        <w:tc>
          <w:tcPr>
            <w:tcW w:w="12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2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2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2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2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50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 Унификация и гармонизация сведений из документов, необходимых для осуществления внешнеэкономической деятельности, а также содержащихся в электронных документах, оформляемых на территории Союза, в целях их взаимного признания</w:t>
            </w:r>
          </w:p>
        </w:tc>
        <w:tc>
          <w:tcPr>
            <w:tcW w:w="12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III-IV кв.</w:t>
            </w:r>
          </w:p>
        </w:tc>
        <w:tc>
          <w:tcPr>
            <w:tcW w:w="12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I-IV кв.</w:t>
            </w:r>
          </w:p>
        </w:tc>
        <w:tc>
          <w:tcPr>
            <w:tcW w:w="12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I-IV кв.</w:t>
            </w:r>
          </w:p>
        </w:tc>
        <w:tc>
          <w:tcPr>
            <w:tcW w:w="12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I-IV кв.</w:t>
            </w:r>
          </w:p>
        </w:tc>
        <w:tc>
          <w:tcPr>
            <w:tcW w:w="12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I-IV кв.</w:t>
            </w:r>
          </w:p>
        </w:tc>
        <w:tc>
          <w:tcPr>
            <w:tcW w:w="12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I-II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</w:t>
            </w:r>
          </w:p>
        </w:tc>
      </w:tr>
      <w:tr>
        <w:trPr>
          <w:trHeight w:val="30" w:hRule="atLeast"/>
        </w:trPr>
        <w:tc>
          <w:tcPr>
            <w:tcW w:w="50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3.3. Переход на оформление уполномоченными органами государств-членов и использование электронных документов, необходимых для осуществления внешнеэкономической деятельности</w:t>
            </w:r>
          </w:p>
        </w:tc>
        <w:tc>
          <w:tcPr>
            <w:tcW w:w="12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III-IV кв.</w:t>
            </w:r>
          </w:p>
        </w:tc>
        <w:tc>
          <w:tcPr>
            <w:tcW w:w="12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I-IV кв.</w:t>
            </w:r>
          </w:p>
        </w:tc>
        <w:tc>
          <w:tcPr>
            <w:tcW w:w="12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I-IV кв.</w:t>
            </w:r>
          </w:p>
        </w:tc>
        <w:tc>
          <w:tcPr>
            <w:tcW w:w="12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I-IV кв.</w:t>
            </w:r>
          </w:p>
        </w:tc>
        <w:tc>
          <w:tcPr>
            <w:tcW w:w="12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I-IV кв.</w:t>
            </w:r>
          </w:p>
        </w:tc>
        <w:tc>
          <w:tcPr>
            <w:tcW w:w="12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I-II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</w:t>
            </w:r>
          </w:p>
        </w:tc>
      </w:tr>
      <w:tr>
        <w:trPr>
          <w:trHeight w:val="30" w:hRule="atLeast"/>
        </w:trPr>
        <w:tc>
          <w:tcPr>
            <w:tcW w:w="50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3.4. Использование сведений из документов, необходимых для осуществления внешнеэкономической деятельности на территории Союза, выданных уполномоченными органами государств, не являющихся государствами-членами</w:t>
            </w:r>
          </w:p>
        </w:tc>
        <w:tc>
          <w:tcPr>
            <w:tcW w:w="12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2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I-IV кв.</w:t>
            </w:r>
          </w:p>
        </w:tc>
        <w:tc>
          <w:tcPr>
            <w:tcW w:w="12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I-IV кв.</w:t>
            </w:r>
          </w:p>
        </w:tc>
        <w:tc>
          <w:tcPr>
            <w:tcW w:w="12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I-IV кв.</w:t>
            </w:r>
          </w:p>
        </w:tc>
        <w:tc>
          <w:tcPr>
            <w:tcW w:w="12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I-IV кв.</w:t>
            </w:r>
          </w:p>
        </w:tc>
        <w:tc>
          <w:tcPr>
            <w:tcW w:w="12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I-II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</w:t>
            </w:r>
          </w:p>
        </w:tc>
      </w:tr>
      <w:tr>
        <w:trPr>
          <w:trHeight w:val="30" w:hRule="atLeast"/>
        </w:trPr>
        <w:tc>
          <w:tcPr>
            <w:tcW w:w="50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3.5. Обеспечение уникальной идентификации субъектов внешнеэкономической деятельности</w:t>
            </w:r>
          </w:p>
        </w:tc>
        <w:tc>
          <w:tcPr>
            <w:tcW w:w="12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III-IV кв.</w:t>
            </w:r>
          </w:p>
        </w:tc>
        <w:tc>
          <w:tcPr>
            <w:tcW w:w="12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I-IV кв.</w:t>
            </w:r>
          </w:p>
        </w:tc>
        <w:tc>
          <w:tcPr>
            <w:tcW w:w="12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I-IV кв.</w:t>
            </w:r>
          </w:p>
        </w:tc>
        <w:tc>
          <w:tcPr>
            <w:tcW w:w="12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2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2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Организация информационного взаимодействия</w:t>
            </w:r>
          </w:p>
        </w:tc>
      </w:tr>
      <w:tr>
        <w:trPr>
          <w:trHeight w:val="30" w:hRule="atLeast"/>
        </w:trPr>
        <w:tc>
          <w:tcPr>
            <w:tcW w:w="50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 Унификация процедур взаимодействия заинтересованных лиц и государственных органов в рамках национальных механизмов "единого окна"</w:t>
            </w:r>
          </w:p>
        </w:tc>
        <w:tc>
          <w:tcPr>
            <w:tcW w:w="12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III-IV кв.</w:t>
            </w:r>
          </w:p>
        </w:tc>
        <w:tc>
          <w:tcPr>
            <w:tcW w:w="12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I-IV кв.</w:t>
            </w:r>
          </w:p>
        </w:tc>
        <w:tc>
          <w:tcPr>
            <w:tcW w:w="12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I-IV кв.</w:t>
            </w:r>
          </w:p>
        </w:tc>
        <w:tc>
          <w:tcPr>
            <w:tcW w:w="12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I-IV кв.</w:t>
            </w:r>
          </w:p>
        </w:tc>
        <w:tc>
          <w:tcPr>
            <w:tcW w:w="12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I-IV кв.</w:t>
            </w:r>
          </w:p>
        </w:tc>
        <w:tc>
          <w:tcPr>
            <w:tcW w:w="12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I-IV кв.</w:t>
            </w:r>
          </w:p>
        </w:tc>
      </w:tr>
      <w:tr>
        <w:trPr>
          <w:trHeight w:val="30" w:hRule="atLeast"/>
        </w:trPr>
        <w:tc>
          <w:tcPr>
            <w:tcW w:w="50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4.2. Оптимизация процедур межведомственного информационного взаимодействия в рамках национальных механизмов "единого окна"</w:t>
            </w:r>
          </w:p>
        </w:tc>
        <w:tc>
          <w:tcPr>
            <w:tcW w:w="12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III-IV кв.</w:t>
            </w:r>
          </w:p>
        </w:tc>
        <w:tc>
          <w:tcPr>
            <w:tcW w:w="12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I-IV кв.</w:t>
            </w:r>
          </w:p>
        </w:tc>
        <w:tc>
          <w:tcPr>
            <w:tcW w:w="12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I-IV кв.</w:t>
            </w:r>
          </w:p>
        </w:tc>
        <w:tc>
          <w:tcPr>
            <w:tcW w:w="12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I-IV кв.</w:t>
            </w:r>
          </w:p>
        </w:tc>
        <w:tc>
          <w:tcPr>
            <w:tcW w:w="12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I-IV кв.</w:t>
            </w:r>
          </w:p>
        </w:tc>
        <w:tc>
          <w:tcPr>
            <w:tcW w:w="12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I-IV кв.</w:t>
            </w:r>
          </w:p>
        </w:tc>
      </w:tr>
      <w:tr>
        <w:trPr>
          <w:trHeight w:val="30" w:hRule="atLeast"/>
        </w:trPr>
        <w:tc>
          <w:tcPr>
            <w:tcW w:w="50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4.3. Оптимизация и реализация общих процессов в рамках Союза, задействованных в обеспечении функционирования национальных механизмов "единого окна"</w:t>
            </w:r>
          </w:p>
        </w:tc>
        <w:tc>
          <w:tcPr>
            <w:tcW w:w="12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III-IV кв.</w:t>
            </w:r>
          </w:p>
        </w:tc>
        <w:tc>
          <w:tcPr>
            <w:tcW w:w="12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I-IV кв.</w:t>
            </w:r>
          </w:p>
        </w:tc>
        <w:tc>
          <w:tcPr>
            <w:tcW w:w="12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I-IV кв.</w:t>
            </w:r>
          </w:p>
        </w:tc>
        <w:tc>
          <w:tcPr>
            <w:tcW w:w="12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I-IV кв.</w:t>
            </w:r>
          </w:p>
        </w:tc>
        <w:tc>
          <w:tcPr>
            <w:tcW w:w="12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I-IV кв.</w:t>
            </w:r>
          </w:p>
        </w:tc>
        <w:tc>
          <w:tcPr>
            <w:tcW w:w="12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I-IV кв.</w:t>
            </w:r>
          </w:p>
        </w:tc>
      </w:tr>
      <w:tr>
        <w:trPr>
          <w:trHeight w:val="30" w:hRule="atLeast"/>
        </w:trPr>
        <w:tc>
          <w:tcPr>
            <w:tcW w:w="50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4.4. Упрощение процедур использования национальных механизмов "единого окна" заинтересованными лицами</w:t>
            </w:r>
          </w:p>
        </w:tc>
        <w:tc>
          <w:tcPr>
            <w:tcW w:w="12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III-IV кв.</w:t>
            </w:r>
          </w:p>
        </w:tc>
        <w:tc>
          <w:tcPr>
            <w:tcW w:w="12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III-IV кв.</w:t>
            </w:r>
          </w:p>
        </w:tc>
        <w:tc>
          <w:tcPr>
            <w:tcW w:w="12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III-IV кв.</w:t>
            </w:r>
          </w:p>
        </w:tc>
        <w:tc>
          <w:tcPr>
            <w:tcW w:w="12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III-IV кв.</w:t>
            </w:r>
          </w:p>
        </w:tc>
        <w:tc>
          <w:tcPr>
            <w:tcW w:w="12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III-IV кв.</w:t>
            </w:r>
          </w:p>
        </w:tc>
        <w:tc>
          <w:tcPr>
            <w:tcW w:w="12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III-IV кв.</w:t>
            </w:r>
          </w:p>
        </w:tc>
      </w:tr>
      <w:tr>
        <w:trPr>
          <w:trHeight w:val="30" w:hRule="atLeast"/>
        </w:trPr>
        <w:tc>
          <w:tcPr>
            <w:tcW w:w="50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4.5. Формирование и развитие единой системы нормативно-справочной информации Союза, необходимой для обеспечения функционирования национальных механизмов "единого окна"</w:t>
            </w:r>
          </w:p>
        </w:tc>
        <w:tc>
          <w:tcPr>
            <w:tcW w:w="12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III-IV кв.</w:t>
            </w:r>
          </w:p>
        </w:tc>
        <w:tc>
          <w:tcPr>
            <w:tcW w:w="12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I-IV кв.</w:t>
            </w:r>
          </w:p>
        </w:tc>
        <w:tc>
          <w:tcPr>
            <w:tcW w:w="12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I-IV кв.</w:t>
            </w:r>
          </w:p>
        </w:tc>
        <w:tc>
          <w:tcPr>
            <w:tcW w:w="12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I-IV кв.</w:t>
            </w:r>
          </w:p>
        </w:tc>
        <w:tc>
          <w:tcPr>
            <w:tcW w:w="12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I-IV кв.</w:t>
            </w:r>
          </w:p>
        </w:tc>
        <w:tc>
          <w:tcPr>
            <w:tcW w:w="12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I-IV кв.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Формирование понятийного аппарата</w:t>
            </w:r>
          </w:p>
        </w:tc>
      </w:tr>
      <w:tr>
        <w:trPr>
          <w:trHeight w:val="30" w:hRule="atLeast"/>
        </w:trPr>
        <w:tc>
          <w:tcPr>
            <w:tcW w:w="50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5.1. Разработка глоссария терминов, используемых при реализации Основных направлений</w:t>
            </w:r>
          </w:p>
        </w:tc>
        <w:tc>
          <w:tcPr>
            <w:tcW w:w="12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III-IV кв.</w:t>
            </w:r>
          </w:p>
        </w:tc>
        <w:tc>
          <w:tcPr>
            <w:tcW w:w="12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2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2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2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2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50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5.2. Ведение (актуализация) глоссария терминов, используемых при реализации Основных направлений</w:t>
            </w:r>
          </w:p>
        </w:tc>
        <w:tc>
          <w:tcPr>
            <w:tcW w:w="12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2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I-IV кв.</w:t>
            </w:r>
          </w:p>
        </w:tc>
        <w:tc>
          <w:tcPr>
            <w:tcW w:w="12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I-IV кв.</w:t>
            </w:r>
          </w:p>
        </w:tc>
        <w:tc>
          <w:tcPr>
            <w:tcW w:w="12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I-IV кв.</w:t>
            </w:r>
          </w:p>
        </w:tc>
        <w:tc>
          <w:tcPr>
            <w:tcW w:w="12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I-IV кв.</w:t>
            </w:r>
          </w:p>
        </w:tc>
        <w:tc>
          <w:tcPr>
            <w:tcW w:w="12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I-II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Организационный механизм, обеспечивающий реализацию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настоящего плана (механизм управления)</w:t>
            </w:r>
          </w:p>
        </w:tc>
      </w:tr>
      <w:tr>
        <w:trPr>
          <w:trHeight w:val="30" w:hRule="atLeast"/>
        </w:trPr>
        <w:tc>
          <w:tcPr>
            <w:tcW w:w="50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6.1. Разработка и утверждение организационной структуры механизма управления</w:t>
            </w:r>
          </w:p>
        </w:tc>
        <w:tc>
          <w:tcPr>
            <w:tcW w:w="12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кв.</w:t>
            </w:r>
          </w:p>
        </w:tc>
        <w:tc>
          <w:tcPr>
            <w:tcW w:w="12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2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2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2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2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50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6.2. Создание рабочей группы по реализации настоящего плана</w:t>
            </w:r>
          </w:p>
        </w:tc>
        <w:tc>
          <w:tcPr>
            <w:tcW w:w="12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кв.</w:t>
            </w:r>
          </w:p>
        </w:tc>
        <w:tc>
          <w:tcPr>
            <w:tcW w:w="12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2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2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2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2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50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6.3. Определение государствами-членами уполномоченных органов, ответственных за реализацию Основных направлений</w:t>
            </w:r>
          </w:p>
        </w:tc>
        <w:tc>
          <w:tcPr>
            <w:tcW w:w="12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кв.</w:t>
            </w:r>
          </w:p>
        </w:tc>
        <w:tc>
          <w:tcPr>
            <w:tcW w:w="12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2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2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2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2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50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6.4. Создание государствами-членами координирующих (совещательных) органов, уполномоченных на реализацию настоящего плана</w:t>
            </w:r>
          </w:p>
        </w:tc>
        <w:tc>
          <w:tcPr>
            <w:tcW w:w="12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кв.</w:t>
            </w:r>
          </w:p>
        </w:tc>
        <w:tc>
          <w:tcPr>
            <w:tcW w:w="12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2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2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2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2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50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6.5. Совершенствование организационной структуры механизма управления</w:t>
            </w:r>
          </w:p>
        </w:tc>
        <w:tc>
          <w:tcPr>
            <w:tcW w:w="12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2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</w:t>
            </w:r>
          </w:p>
        </w:tc>
        <w:tc>
          <w:tcPr>
            <w:tcW w:w="12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I-IV кв.</w:t>
            </w:r>
          </w:p>
        </w:tc>
        <w:tc>
          <w:tcPr>
            <w:tcW w:w="12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I-IV кв.</w:t>
            </w:r>
          </w:p>
        </w:tc>
        <w:tc>
          <w:tcPr>
            <w:tcW w:w="12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I-IV кв.</w:t>
            </w:r>
          </w:p>
        </w:tc>
        <w:tc>
          <w:tcPr>
            <w:tcW w:w="12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Организационные вопросы</w:t>
            </w:r>
          </w:p>
        </w:tc>
      </w:tr>
      <w:tr>
        <w:trPr>
          <w:trHeight w:val="30" w:hRule="atLeast"/>
        </w:trPr>
        <w:tc>
          <w:tcPr>
            <w:tcW w:w="50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7.1. Популяризация механизма "единого окна": работа со СМИ, организация открытых дискуссий, семинаров, конференций по реализации Основных направлений и настоящего плана</w:t>
            </w:r>
          </w:p>
        </w:tc>
        <w:tc>
          <w:tcPr>
            <w:tcW w:w="12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II-IV кв.</w:t>
            </w:r>
          </w:p>
        </w:tc>
        <w:tc>
          <w:tcPr>
            <w:tcW w:w="12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I-IV кв.</w:t>
            </w:r>
          </w:p>
        </w:tc>
        <w:tc>
          <w:tcPr>
            <w:tcW w:w="12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I-IV кв.</w:t>
            </w:r>
          </w:p>
        </w:tc>
        <w:tc>
          <w:tcPr>
            <w:tcW w:w="12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I-IV кв.</w:t>
            </w:r>
          </w:p>
        </w:tc>
        <w:tc>
          <w:tcPr>
            <w:tcW w:w="12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I-IV кв.</w:t>
            </w:r>
          </w:p>
        </w:tc>
        <w:tc>
          <w:tcPr>
            <w:tcW w:w="12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I-IV кв.</w:t>
            </w:r>
          </w:p>
        </w:tc>
      </w:tr>
      <w:tr>
        <w:trPr>
          <w:trHeight w:val="30" w:hRule="atLeast"/>
        </w:trPr>
        <w:tc>
          <w:tcPr>
            <w:tcW w:w="50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7.2. Подготовка и публикация отчетов о проделанной работе по реализации Основных направлений и настоящего плана</w:t>
            </w:r>
          </w:p>
        </w:tc>
        <w:tc>
          <w:tcPr>
            <w:tcW w:w="12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</w:t>
            </w:r>
          </w:p>
        </w:tc>
        <w:tc>
          <w:tcPr>
            <w:tcW w:w="12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II, IV кв.</w:t>
            </w:r>
          </w:p>
        </w:tc>
        <w:tc>
          <w:tcPr>
            <w:tcW w:w="12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II, IV кв.</w:t>
            </w:r>
          </w:p>
        </w:tc>
        <w:tc>
          <w:tcPr>
            <w:tcW w:w="12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II, IV кв.</w:t>
            </w:r>
          </w:p>
        </w:tc>
        <w:tc>
          <w:tcPr>
            <w:tcW w:w="12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II, IV кв.</w:t>
            </w:r>
          </w:p>
        </w:tc>
        <w:tc>
          <w:tcPr>
            <w:tcW w:w="12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II, IV кв.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 Основных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направлений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механизма "единого окна"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системе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внешнеэкономической деятельности</w:t>
            </w:r>
          </w:p>
        </w:tc>
      </w:tr>
    </w:tbl>
    <w:bookmarkStart w:name="z27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Структура эталонной модели</w:t>
      </w:r>
      <w:r>
        <w:br/>
      </w:r>
      <w:r>
        <w:rPr>
          <w:rFonts w:ascii="Times New Roman"/>
          <w:b/>
          <w:i w:val="false"/>
          <w:color w:val="000000"/>
        </w:rPr>
        <w:t>национального механизма "единого окна"</w:t>
      </w:r>
    </w:p>
    <w:bookmarkEnd w:id="23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5740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74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Примечание. В настоящей структуре используются следующие обозначения: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"B2B" – информационное взаимодействие заинтересованных лиц между собой;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"B2G/G2B" – информационное взаимодействие между заинтересованными лицами, государственными органами и (или) уполномоченными организациями государств-членов;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"G2G" – межведомственное информационное взаимодействие;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"ЕЭК" – Евразийская экономическая комиссия.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 Основных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направлений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механизма "единого окна"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системе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внешнеэкономической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</w:p>
        </w:tc>
      </w:tr>
    </w:tbl>
    <w:bookmarkStart w:name="z29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Сетевой график реализации плана мероприятий по            реализации Основных направлений развития механизма "единого           окна" в системе регулирования внешнеэкономической                                деятельности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4865"/>
        <w:gridCol w:w="374"/>
        <w:gridCol w:w="465"/>
        <w:gridCol w:w="1250"/>
        <w:gridCol w:w="880"/>
        <w:gridCol w:w="859"/>
        <w:gridCol w:w="836"/>
        <w:gridCol w:w="836"/>
        <w:gridCol w:w="1251"/>
      </w:tblGrid>
      <w:tr>
        <w:trPr>
          <w:trHeight w:val="30" w:hRule="atLeast"/>
        </w:trPr>
        <w:tc>
          <w:tcPr>
            <w:tcW w:w="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8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год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4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Сравнение терминов, используемых в описании механизма "единого окна" в законодательстве государств-членов и международной практике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4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Согласование подходов государств-членов к моделированию и анализу государственных процедур и бизнес-процессов, связанных с внешнеэкономической деятельностью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4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методики оценки состояния развития национальных механизмов "единого окна"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4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анализа состояния развития национальных механизмов "единого окна" в соответствии с разработанной методикой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A/D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 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</w:t>
            </w:r>
          </w:p>
        </w:tc>
        <w:tc>
          <w:tcPr>
            <w:tcW w:w="4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и обобщение результатов оценки состояния развития национальных механизмов "единого окна". Разработка заключений по каждому государству-члену по оптимизации государственных процедур и бизнес-процессов, связанных с внешнеэкономической деятельностью, а также по развитию национальных механизмов "единого окна"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A/D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 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</w:t>
            </w:r>
          </w:p>
        </w:tc>
        <w:tc>
          <w:tcPr>
            <w:tcW w:w="4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 утверждение детального описания функций и архитектуры эталонной модели национального механизма "единого окна", перечня государственных процедур и услуг, охватываемых такой эталонной моделью, с учетом наднационального сегмента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</w:t>
            </w:r>
          </w:p>
        </w:tc>
        <w:tc>
          <w:tcPr>
            <w:tcW w:w="4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Разработка, внедрение и оптимизация национальных механизмов "единого окна"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B/D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4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приоритетных направлений сближения подходов по развитию национальных механизмов "единого окна"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В/D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4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и мониторинг развития национальных механизмов "единого окна", подготовка рекомендаций по внесению необходимых изменений в работу национальных механизмов "единого окна" с учетом пункта 1.5 настоящего графика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4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изменений в функционирование национальных механизмов "единого окна" в соответствии с рекомендациями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4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документов и сведений, необходимых для осуществления внешнеэкономической деятельности, и оценка необходимости внесения изменений в акты, входящие в право Союза, и законодательство государств-членов с целью унификации и гармонизации сведений из документов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A/D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4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Унификация и гармонизация сведений из документов, необходимых для осуществления внешнеэкономической деятельности, а также содержащихся в электронных документах, оформляемых на территории Союза, в целях их взаимного признания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B/D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B/D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</w:t>
            </w:r>
          </w:p>
        </w:tc>
        <w:tc>
          <w:tcPr>
            <w:tcW w:w="4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Переход на оформление уполномоченными органами государств-членов и использование электронных документов, необходимых для осуществления внешнеэкономической деятельности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B/D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C/D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</w:t>
            </w:r>
          </w:p>
        </w:tc>
        <w:tc>
          <w:tcPr>
            <w:tcW w:w="4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 сведений из документов, необходимых для осуществления внешнеэкономической деятельности на территории Союза, выданных уполномоченными органами государств, не являющихся государствами-членами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C/D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3.5</w:t>
            </w:r>
          </w:p>
        </w:tc>
        <w:tc>
          <w:tcPr>
            <w:tcW w:w="4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уникальной идентификации субъектов внешнеэкономической деятельности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B/D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B/C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B/C/D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</w:tc>
        <w:tc>
          <w:tcPr>
            <w:tcW w:w="4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Унификация процедур взаимодействия заинтересованных лиц и государственных органов в рамках национальных механизмов "единого окна"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A/B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B/C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D/B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B/C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B/С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B/C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</w:t>
            </w:r>
          </w:p>
        </w:tc>
        <w:tc>
          <w:tcPr>
            <w:tcW w:w="4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Оптимизация процедур межведомственного взаимодействия в рамках национальных механизмов "единого окна"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A/B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B/C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D/B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B/C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B/С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B/C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</w:t>
            </w:r>
          </w:p>
        </w:tc>
        <w:tc>
          <w:tcPr>
            <w:tcW w:w="4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Оптимизация и реализация общих процессов в рамках Союза, задействованных в функционировании национальных механизмов "единого окна"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A/B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B/C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D/B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B/C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B/С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B/C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4.4</w:t>
            </w:r>
          </w:p>
        </w:tc>
        <w:tc>
          <w:tcPr>
            <w:tcW w:w="4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Упрощение процедур использования национальных механизмов "единого окна" хозяйствующими субъектами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4.5</w:t>
            </w:r>
          </w:p>
        </w:tc>
        <w:tc>
          <w:tcPr>
            <w:tcW w:w="4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 развитие единой системы нормативно-справочной информации Союза, необходимой для функционирования национальных механизмов "единого окна"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</w:t>
            </w:r>
          </w:p>
        </w:tc>
        <w:tc>
          <w:tcPr>
            <w:tcW w:w="4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глоссария терминов, используемых при реализации Основных направлений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B/D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</w:t>
            </w:r>
          </w:p>
        </w:tc>
        <w:tc>
          <w:tcPr>
            <w:tcW w:w="4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(актуализация) глоссария терминов, используемых при реализации Основных направлений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C/D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</w:t>
            </w:r>
          </w:p>
        </w:tc>
        <w:tc>
          <w:tcPr>
            <w:tcW w:w="4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 утверждение организационной структуры механизма управления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A/B/C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</w:t>
            </w:r>
          </w:p>
        </w:tc>
        <w:tc>
          <w:tcPr>
            <w:tcW w:w="4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рабочей группы по реализации плана мероприятий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A/B/C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6.3</w:t>
            </w:r>
          </w:p>
        </w:tc>
        <w:tc>
          <w:tcPr>
            <w:tcW w:w="4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государствами-членами уполномоченных органов, ответственных за реализацию Основных направлений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A/B/C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6.4</w:t>
            </w:r>
          </w:p>
        </w:tc>
        <w:tc>
          <w:tcPr>
            <w:tcW w:w="4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государствами-членами координирующих (совещательных) органов (советов, комиссий) по реализации плана мероприятий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A/B/C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6.5</w:t>
            </w:r>
          </w:p>
        </w:tc>
        <w:tc>
          <w:tcPr>
            <w:tcW w:w="4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Совершенствование организационной структуры механизма управления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</w:t>
            </w:r>
          </w:p>
        </w:tc>
        <w:tc>
          <w:tcPr>
            <w:tcW w:w="4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Популяризация механизма "единого окна": работа со СМИ, организация открытых дискуссий, семинаров, конференций по реализации Основных направлений и плана мероприятий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C/D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7.2</w:t>
            </w:r>
          </w:p>
        </w:tc>
        <w:tc>
          <w:tcPr>
            <w:tcW w:w="4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публикация отчетов о проделанной работе по реализации Основных направлений и плана мероприятий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 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6"/>
        <w:gridCol w:w="764"/>
        <w:gridCol w:w="764"/>
        <w:gridCol w:w="1144"/>
        <w:gridCol w:w="786"/>
        <w:gridCol w:w="765"/>
        <w:gridCol w:w="765"/>
        <w:gridCol w:w="786"/>
        <w:gridCol w:w="786"/>
        <w:gridCol w:w="765"/>
        <w:gridCol w:w="531"/>
        <w:gridCol w:w="786"/>
        <w:gridCol w:w="787"/>
        <w:gridCol w:w="765"/>
        <w:gridCol w:w="532"/>
        <w:gridCol w:w="78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B/C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B/C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B/C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B/C/D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B/C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B/C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C/D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 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 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B/C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B/C/D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B/C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B/C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B/C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C/D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C/D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C/D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C/D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C/D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C/D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C/D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C/D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C/D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D/B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B/C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B/С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B/C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D/B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B/C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B/С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B/C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D/B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B/C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B/С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B/C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D/B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B/C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B/С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B/C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D/B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B/C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B/С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B/C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D/B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B/C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B/С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B/C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D/B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B/C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B/С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B/C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D/B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B/C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B/С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B/C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D/B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B/C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B/С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B/C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D/B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B/C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B/С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B/C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D/B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B/C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B/С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B/C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D/B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B/C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B/С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B/C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B/C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C/D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C/D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B/C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C/D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C/D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C/D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C/D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C/D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 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 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Примечание. В настоящем графике используются следующие           обозначения: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"А" – подготовительный этап;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"В" – этап разработки;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"С" – этап реализации;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"D" – этап мониторинга и оценки достигнутых результатов.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 Основных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направлений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механизма "единого окна"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системе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внешнеэкономической деятельности</w:t>
            </w:r>
          </w:p>
        </w:tc>
      </w:tr>
    </w:tbl>
    <w:bookmarkStart w:name="z3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организационного механизма, обеспечивающего</w:t>
      </w:r>
      <w:r>
        <w:br/>
      </w:r>
      <w:r>
        <w:rPr>
          <w:rFonts w:ascii="Times New Roman"/>
          <w:b/>
          <w:i w:val="false"/>
          <w:color w:val="000000"/>
        </w:rPr>
        <w:t>реализацию плана мероприятий по реализации Основных</w:t>
      </w:r>
      <w:r>
        <w:br/>
      </w:r>
      <w:r>
        <w:rPr>
          <w:rFonts w:ascii="Times New Roman"/>
          <w:b/>
          <w:i w:val="false"/>
          <w:color w:val="000000"/>
        </w:rPr>
        <w:t>направлений развития механизма "единого окна" в системе</w:t>
      </w:r>
      <w:r>
        <w:br/>
      </w:r>
      <w:r>
        <w:rPr>
          <w:rFonts w:ascii="Times New Roman"/>
          <w:b/>
          <w:i w:val="false"/>
          <w:color w:val="000000"/>
        </w:rPr>
        <w:t xml:space="preserve">регулирования внешнеэкономической деятельности   </w:t>
      </w:r>
    </w:p>
    <w:bookmarkEnd w:id="25"/>
    <w:p>
      <w:pPr>
        <w:spacing w:after="0"/>
        <w:ind w:left="0"/>
        <w:jc w:val="both"/>
      </w:pPr>
      <w:r>
        <w:drawing>
          <wp:inline distT="0" distB="0" distL="0" distR="0">
            <wp:extent cx="7810500" cy="6286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28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