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6454" w14:textId="ec26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оборудования для ракетно-космической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апреля 2015 года № 22.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и Единый таможенный тариф Евразийского экономического союза (приложение к Решению Совета Евразийской экономической комиссии от 16 июля 2012 г. № 54)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Евразийского экономического союза подсубпозиции согласно приложению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Евразийского экономического союза подсубпозиции согласно приложению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Евразийского экономического союза согласно приложению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примечания к единой Товарной номенклатуре внешнеэкономической деятельности Евразийского экономического союза согласно приложению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примечания к Единому таможенному тарифу Евразийского экономического союза примечанием 43С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43С)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28 апреля 2015 г. № 22 по 31.12.2015 включительно.".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Российской Федерации и Совету Министров Республики Беларусь поручить уполномоченным органам государственной власти организовать взаимодействие заинтересованных хозяйствующих субъектов Российской Федерации и Республики Беларусь в целях обеспечения работы по развитию производственной кооперации и снижению импортозависимости в станкостроительной и инструментальной отраслях промышленности.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 государственной власти Российской Федерации и Республики Беларусь, уполномоченным на взаимодействие с Евразийской экономической комиссией, не позднее ноября 2015 г. доложить Совету Евразийской экономической комиссии о результатах взаимодействия, указанного в настоящем пункте.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календарных дней с даты его официального опубликования.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г. № 22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8457 10 900 8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прочие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8458 11 200 0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токарные многоцелевые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8458 11 490 0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многошпиндельные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8459 61 900 9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8460 29 900 0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8461 20 000 9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прочие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8461 40 110 7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8462 21 800 8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прочие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г. № 22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8457 10 900 3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токарные многоцелевые: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8458 11 200 1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многошпиндельные: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8458 11 490 1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8459 61 900 2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8459 61 900 8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8460 29 900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прочие: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8460 29 900 1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8460 29 900 9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8461 20 000 2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8461 20 000 8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8461 40 110 4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8462 21 800 3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8462 21 800 7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8457 10 900 2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8458 91 200 1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8459 61 900 1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8460 21 900 1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8461 20 000 1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8461 40 110 3 ТН ВЭД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Бескодовая подсубпозиция после подсубпозиции 8462 21 800 2 ТН ВЭД ЕАЭС.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г. № 22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Евразийского экономического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от таможенной стоимости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8457 10 900 3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8458 11 200 1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8458 11 490 1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8458 91 200 8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8459 61 900 2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8459 61 900 8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8460 21 900 8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8460 29 900 1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8460 29 900 9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8461 20 000 2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8461 20 000 8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8461 40 110 4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8461 40 110 9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8462 21 800 3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8462 21 800 7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г. № 22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примечания к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примечанием 16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подтверждении уполномоченным органом исполнительной власти, осуществляющим функции по обеспечению реализации государственной политики и нормативно-правовому регулированию в сфере космической деятельности, государства – члена Евразийского экономического союза целевого назначения ввозимого товара.".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таблицей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исполнительной власти, осуществляющий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по обеспечению реализации государственной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нормативно-правовому регулированию в сфере 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деятельности, государства – члена 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[уполномоченный орган исполнительной власти Республики Армения]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Федеральное космическое агентство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