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e004" w14:textId="4b2e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Высшего Евразийского экономического совета от 10 октября 2014 г.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31 мая 2016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вступает в силу 01.06.2016 -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Договора о Евразийском экономическом союзе от 29 мая 2014 года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10 октября 2014 г. № 79 «О размерах (шкале) долевых взносов государств - членов Евразийского экономического союза в бюджет Евразийского экономического союза»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«на 2016 год» дополнить словами «и последующие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изменения нормативов распределения сумм ввозных таможенных пошлин для каждого государства-члена размеры (шкала) долевых взносов государств-членов в бюджет Союза подлежат уточнению и применяются для целей формирования и исполнения бюджета Союза начиная с года, следующего за годом, в котором осуществлено изменение нормативов.».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