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2e80" w14:textId="66d2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июня 2016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15.07.2016 -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абзацем первым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техники, утвержденный Решением Коллегии Евразийской экономической комиссии от 22 сентября 2015 г. № 122,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2016 г. № 71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Порядок функционирования систем электронных</w:t>
      </w:r>
      <w:r>
        <w:br/>
      </w:r>
      <w:r>
        <w:rPr>
          <w:rFonts w:ascii="Times New Roman"/>
          <w:b/>
          <w:i w:val="false"/>
          <w:color w:val="000000"/>
        </w:rPr>
        <w:t>
паспортов транспортных средств (электронных паспортов шасси</w:t>
      </w:r>
      <w:r>
        <w:br/>
      </w:r>
      <w:r>
        <w:rPr>
          <w:rFonts w:ascii="Times New Roman"/>
          <w:b/>
          <w:i w:val="false"/>
          <w:color w:val="000000"/>
        </w:rPr>
        <w:t>
транспортных средств) и электронных паспортов самоходных машин</w:t>
      </w:r>
      <w:r>
        <w:br/>
      </w:r>
      <w:r>
        <w:rPr>
          <w:rFonts w:ascii="Times New Roman"/>
          <w:b/>
          <w:i w:val="false"/>
          <w:color w:val="000000"/>
        </w:rPr>
        <w:t>
и других видов техники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Порядку дополнить пунктом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Территория, на которой допускается регистрация транспортного средства.».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Пункт 10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Порядку дополнить подпунктом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территория, на которой допускается регистрация транспортного средства.».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> приложения № 7 к указанному Порядку дополнить подпунктом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в поле «территория, на которой допускается регистрация транспортного средства» – запись «Евразийский экономический союз» (если произведенное транспортное средство соответствует требованиям, установленным решениями органов Союза и предъявляемым при производстве таких транспортных средств для их свободного обращения) или «ограниченная территория» (если произведенное транспортное средство не соответствует требованиям, установленным решениями органов Союза и предъявляемым при производстве таких транспортных средств для их свободного обращения).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поле заполняется в случае, если в поле «сведения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производстве транспортного средства с применением льготного режима» была произведена запись «модель транспортного средства произведена в льготном режиме».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поле используется в соответствии с законодательством государства-члена в случае, если была произведена запись «ограниченная территория» и в законодательстве государства-члена, в  котором предполагается регистрация транспортного средства, в целях реализации решений органов Союза установлены ограничения, действующие в отношении регистрации транспортных средств.».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