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aa46c" w14:textId="6caa4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перечень товаров и ставок,в отношении которых в течение переходного периода Кыргызская Республика применяет ставки ввозных таможенных пошлин, отличные от ставок пошлин, установленных Единым таможенным тарифом Евразийского экономического союза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Коллегии Евразийской экономической комиссии от 4 октября 2016 года № 109.</w:t>
      </w:r>
    </w:p>
    <w:p>
      <w:pPr>
        <w:spacing w:after="0"/>
        <w:ind w:left="0"/>
        <w:jc w:val="both"/>
      </w:pPr>
      <w:r>
        <w:rPr>
          <w:rFonts w:ascii="Times New Roman"/>
          <w:b w:val="false"/>
          <w:i w:val="false"/>
          <w:color w:val="ff0000"/>
          <w:sz w:val="28"/>
        </w:rPr>
        <w:t xml:space="preserve">
      Сноска. Утратило силу решением Коллегии Евразийской экономической комиссии от 29.06.2021 </w:t>
      </w:r>
      <w:r>
        <w:rPr>
          <w:rFonts w:ascii="Times New Roman"/>
          <w:b w:val="false"/>
          <w:i w:val="false"/>
          <w:color w:val="ff0000"/>
          <w:sz w:val="28"/>
        </w:rPr>
        <w:t>№ 70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 w:id="0"/>
    <w:p>
      <w:pPr>
        <w:spacing w:after="0"/>
        <w:ind w:left="0"/>
        <w:jc w:val="both"/>
      </w:pPr>
      <w:r>
        <w:rPr>
          <w:rFonts w:ascii="Times New Roman"/>
          <w:b w:val="false"/>
          <w:i w:val="false"/>
          <w:color w:val="000000"/>
          <w:sz w:val="28"/>
        </w:rPr>
        <w:t xml:space="preserve">
      В связи с принятием новой редакции единой Товарной номенклатуры внешнеэкономической деятельности Евразийского экономического союза, основанной на 6-м издании Гармонизированной системы описания и кодирования товаров Всемирной таможенной организации, 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42 Договора о Евразийском экономическом союзе от 29 мая 2014 года и </w:t>
      </w:r>
      <w:r>
        <w:rPr>
          <w:rFonts w:ascii="Times New Roman"/>
          <w:b w:val="false"/>
          <w:i w:val="false"/>
          <w:color w:val="000000"/>
          <w:sz w:val="28"/>
        </w:rPr>
        <w:t>пунктом 43</w:t>
      </w:r>
      <w:r>
        <w:rPr>
          <w:rFonts w:ascii="Times New Roman"/>
          <w:b w:val="false"/>
          <w:i w:val="false"/>
          <w:color w:val="000000"/>
          <w:sz w:val="28"/>
        </w:rPr>
        <w:t xml:space="preserve"> приложения № 1 к Протоколу от 8 мая 2015 года об условиях и переходных положениях по применению Кыргызской Республикой Договора о Евразийском экономическом союзе от 29 мая 2014 года, отдельных международных договоров, входящих в право Евразийского экономического союза,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 Коллегия Евразийской экономической комиссии </w:t>
      </w:r>
      <w:r>
        <w:rPr>
          <w:rFonts w:ascii="Times New Roman"/>
          <w:b/>
          <w:i w:val="false"/>
          <w:color w:val="000000"/>
          <w:sz w:val="28"/>
        </w:rPr>
        <w:t>решила:</w:t>
      </w:r>
    </w:p>
    <w:bookmarkEnd w:id="0"/>
    <w:bookmarkStart w:name="z2" w:id="1"/>
    <w:p>
      <w:pPr>
        <w:spacing w:after="0"/>
        <w:ind w:left="0"/>
        <w:jc w:val="both"/>
      </w:pPr>
      <w:r>
        <w:rPr>
          <w:rFonts w:ascii="Times New Roman"/>
          <w:b w:val="false"/>
          <w:i w:val="false"/>
          <w:color w:val="000000"/>
          <w:sz w:val="28"/>
        </w:rPr>
        <w:t>
      1. Внести в перечень товаров и ставок, в отношении которых в течение переходного периода Кыргызская Республика применяет ставки ввозных таможенных пошлин, отличные от ставок пошлин, установленных Единым таможенным тарифом Евразийского экономического союза, утвержденный Решением Коллегии Евразийской экономической комиссии от 30 июня 2015 г. № 68, следующие изменения:</w:t>
      </w:r>
    </w:p>
    <w:bookmarkEnd w:id="1"/>
    <w:p>
      <w:pPr>
        <w:spacing w:after="0"/>
        <w:ind w:left="0"/>
        <w:jc w:val="both"/>
      </w:pPr>
      <w:r>
        <w:rPr>
          <w:rFonts w:ascii="Times New Roman"/>
          <w:b w:val="false"/>
          <w:i w:val="false"/>
          <w:color w:val="000000"/>
          <w:sz w:val="28"/>
        </w:rPr>
        <w:t xml:space="preserve">
      а) исключить позиции согласно </w:t>
      </w:r>
      <w:r>
        <w:rPr>
          <w:rFonts w:ascii="Times New Roman"/>
          <w:b w:val="false"/>
          <w:i w:val="false"/>
          <w:color w:val="000000"/>
          <w:sz w:val="28"/>
        </w:rPr>
        <w:t>приложению № 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б) включить позиции согласно </w:t>
      </w:r>
      <w:r>
        <w:rPr>
          <w:rFonts w:ascii="Times New Roman"/>
          <w:b w:val="false"/>
          <w:i w:val="false"/>
          <w:color w:val="000000"/>
          <w:sz w:val="28"/>
        </w:rPr>
        <w:t>приложению № 2</w:t>
      </w: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2. Настоящее Решение вступает в силу с 1 января 2017 г.</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Коллегии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Евразийской экономической комиссии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Саркисян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4 октября 2016 г. № 109</w:t>
            </w:r>
          </w:p>
        </w:tc>
      </w:tr>
    </w:tbl>
    <w:bookmarkStart w:name="z5" w:id="3"/>
    <w:p>
      <w:pPr>
        <w:spacing w:after="0"/>
        <w:ind w:left="0"/>
        <w:jc w:val="left"/>
      </w:pPr>
      <w:r>
        <w:rPr>
          <w:rFonts w:ascii="Times New Roman"/>
          <w:b/>
          <w:i w:val="false"/>
          <w:color w:val="000000"/>
        </w:rPr>
        <w:t xml:space="preserve"> Позиции, исключаемые из перечня</w:t>
      </w:r>
      <w:r>
        <w:br/>
      </w:r>
      <w:r>
        <w:rPr>
          <w:rFonts w:ascii="Times New Roman"/>
          <w:b/>
          <w:i w:val="false"/>
          <w:color w:val="000000"/>
        </w:rPr>
        <w:t>товаров и ставок, в отношении которых в течение переходного</w:t>
      </w:r>
      <w:r>
        <w:br/>
      </w:r>
      <w:r>
        <w:rPr>
          <w:rFonts w:ascii="Times New Roman"/>
          <w:b/>
          <w:i w:val="false"/>
          <w:color w:val="000000"/>
        </w:rPr>
        <w:t>периода Кыргызская Республика применяет ставки ввозных</w:t>
      </w:r>
      <w:r>
        <w:br/>
      </w:r>
      <w:r>
        <w:rPr>
          <w:rFonts w:ascii="Times New Roman"/>
          <w:b/>
          <w:i w:val="false"/>
          <w:color w:val="000000"/>
        </w:rPr>
        <w:t>таможенных пошлин, отличные от ставок пошлин, установленных</w:t>
      </w:r>
      <w:r>
        <w:br/>
      </w:r>
      <w:r>
        <w:rPr>
          <w:rFonts w:ascii="Times New Roman"/>
          <w:b/>
          <w:i w:val="false"/>
          <w:color w:val="000000"/>
        </w:rPr>
        <w:t>Единым таможенным тарифом Евразийского экономического союза</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ТН ВЭД</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ввозной таможенной пошлины (в процентах от таможенной стоимости либо в евро, либо в долларах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2015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2016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2017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2018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2019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w:t>
            </w:r>
          </w:p>
          <w:p>
            <w:pPr>
              <w:spacing w:after="20"/>
              <w:ind w:left="20"/>
              <w:jc w:val="both"/>
            </w:pPr>
            <w:r>
              <w:rPr>
                <w:rFonts w:ascii="Times New Roman"/>
                <w:b w:val="false"/>
                <w:i w:val="false"/>
                <w:color w:val="000000"/>
                <w:sz w:val="20"/>
              </w:rPr>
              <w:t>
2020 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1005 10 110 0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двойные гибриды и топкроссные гибриды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2309 90 990 0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2815 11 000 0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твердом виде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3002 10 100 9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3002 10 910 0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гемоглобин, глобулины крови и сывороточные глобулины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3002 10 950 1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факторы свертываемости крови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3002 10 950 9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3002 10 990 0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3004 40 000 2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эфедрин или его соли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3004 40 000 3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псевдоэфедрин или его соли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3004 40 000 4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норэфедрин или его соли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3004 40 000 5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 и содержащие в качестве основного действующего вещества только: кофеин-бензоат натрия или ксантинола никотинат, или папаверин, или пилокарпин, или теобромин, или теофиллин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3004 40 000 8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3006 60 100 1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3006 60 900 0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основе спеpмицидов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3824 90 640 0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3824 90 970 2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пропитывающая жидкость для производства силовых конденсаторов</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3824 90 970 8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3907 60 800 0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3918 90 000 0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пластмасс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3919 10 120 0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поливинилхлорида или полиэтилена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3919 10 150 0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полипропилена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3919 10 190 0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3919 90 000 0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3920 10 240 0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растягивающаяся пленка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3921 19 000 0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пластмасс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3921 90 900 0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3923 30 109 0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3923 30 901 0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преформы для изготовления изделий емкостью более 2 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3923 90 000 0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8414 60 000 1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наименьшим горизонтальным размером не более 100 см, вертикальным размером не более 130 см, номинальным напряжением не более 250 В, производительностью не более 1500 м</w:t>
            </w:r>
            <w:r>
              <w:rPr>
                <w:rFonts w:ascii="Times New Roman"/>
                <w:b w:val="false"/>
                <w:i w:val="false"/>
                <w:color w:val="000000"/>
                <w:vertAlign w:val="superscript"/>
              </w:rPr>
              <w:t>3</w:t>
            </w:r>
            <w:r>
              <w:rPr>
                <w:rFonts w:ascii="Times New Roman"/>
                <w:b w:val="false"/>
                <w:i w:val="false"/>
                <w:color w:val="000000"/>
                <w:sz w:val="20"/>
              </w:rPr>
              <w:t>/час, с жироулавливающим элементом или местом для его установки, с посадочным местом для подсоединения воздуховода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8424 81 910 0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распылители и распределители порошков, предназначенные для установки на тракторах или для буксирования этими тракторами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8424 81 990 0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8432 30 190 0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8501 40 200 4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8701 90 110 0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18 кВт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8701 90 200 0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18 кВт, но не более 37 кВт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8701 90 250 0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37 кВт, но не более 59 кВт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8701 90 310 0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59 кВт, но не более 75 кВт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8701 90 350 0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75 кВт, но не более 90 кВт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8701 90 390 9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8701 90 900 0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8702 90 909 0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8703 23 191 0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рабочим объемом цилиндров двигателя более 1500 см</w:t>
            </w:r>
            <w:r>
              <w:rPr>
                <w:rFonts w:ascii="Times New Roman"/>
                <w:b w:val="false"/>
                <w:i w:val="false"/>
                <w:color w:val="000000"/>
                <w:vertAlign w:val="superscript"/>
              </w:rPr>
              <w:t>3</w:t>
            </w:r>
            <w:r>
              <w:rPr>
                <w:rFonts w:ascii="Times New Roman"/>
                <w:b w:val="false"/>
                <w:i w:val="false"/>
                <w:color w:val="000000"/>
                <w:sz w:val="20"/>
              </w:rPr>
              <w:t>, но не более 1800 см</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8703 23 192 1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рабочим объемом цилиндров двигателя более 1800 см</w:t>
            </w:r>
            <w:r>
              <w:rPr>
                <w:rFonts w:ascii="Times New Roman"/>
                <w:b w:val="false"/>
                <w:i w:val="false"/>
                <w:color w:val="000000"/>
                <w:vertAlign w:val="superscript"/>
              </w:rPr>
              <w:t>3</w:t>
            </w:r>
            <w:r>
              <w:rPr>
                <w:rFonts w:ascii="Times New Roman"/>
                <w:b w:val="false"/>
                <w:i w:val="false"/>
                <w:color w:val="000000"/>
                <w:sz w:val="20"/>
              </w:rPr>
              <w:t>, но не более 2300 см</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8703 23 192 2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8704 90 000 1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полной массой транспортного средства не более 5 т, содержащие в качестве ходовых исключительно электродвигатели (один или несколько)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9406 00 310 0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теплицы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4 октября 2016 г. № 109</w:t>
            </w:r>
          </w:p>
        </w:tc>
      </w:tr>
    </w:tbl>
    <w:bookmarkStart w:name="z7" w:id="4"/>
    <w:p>
      <w:pPr>
        <w:spacing w:after="0"/>
        <w:ind w:left="0"/>
        <w:jc w:val="left"/>
      </w:pPr>
      <w:r>
        <w:rPr>
          <w:rFonts w:ascii="Times New Roman"/>
          <w:b/>
          <w:i w:val="false"/>
          <w:color w:val="000000"/>
        </w:rPr>
        <w:t xml:space="preserve"> Позиции, включаемые в перечень</w:t>
      </w:r>
      <w:r>
        <w:br/>
      </w:r>
      <w:r>
        <w:rPr>
          <w:rFonts w:ascii="Times New Roman"/>
          <w:b/>
          <w:i w:val="false"/>
          <w:color w:val="000000"/>
        </w:rPr>
        <w:t>товаров и ставок, в отношении которых в течение переходного</w:t>
      </w:r>
      <w:r>
        <w:br/>
      </w:r>
      <w:r>
        <w:rPr>
          <w:rFonts w:ascii="Times New Roman"/>
          <w:b/>
          <w:i w:val="false"/>
          <w:color w:val="000000"/>
        </w:rPr>
        <w:t>периода Кыргызская Республика применяет ставки ввозных</w:t>
      </w:r>
      <w:r>
        <w:br/>
      </w:r>
      <w:r>
        <w:rPr>
          <w:rFonts w:ascii="Times New Roman"/>
          <w:b/>
          <w:i w:val="false"/>
          <w:color w:val="000000"/>
        </w:rPr>
        <w:t>таможенных пошлин, отличные от ставок пошлин, установленных</w:t>
      </w:r>
      <w:r>
        <w:br/>
      </w:r>
      <w:r>
        <w:rPr>
          <w:rFonts w:ascii="Times New Roman"/>
          <w:b/>
          <w:i w:val="false"/>
          <w:color w:val="000000"/>
        </w:rPr>
        <w:t>Единым таможенным тарифом Евразийского экономического союза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ТН ВЭД</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ввозной таможенной пошлины (в процентах от таможенной стоимости либо в евро, либо в долларах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2015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2016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2017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2018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2019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w:t>
            </w:r>
          </w:p>
          <w:p>
            <w:pPr>
              <w:spacing w:after="20"/>
              <w:ind w:left="20"/>
              <w:jc w:val="both"/>
            </w:pPr>
            <w:r>
              <w:rPr>
                <w:rFonts w:ascii="Times New Roman"/>
                <w:b w:val="false"/>
                <w:i w:val="false"/>
                <w:color w:val="000000"/>
                <w:sz w:val="20"/>
              </w:rPr>
              <w:t>
2020 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1005 10 180 1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двойные гибриды и топкроссные гибриды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2309 90 960 9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3002 11 000 0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наборы для диагностики малярии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гемоглобин, глобулины крови и сывороточные глобулины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факторы свертываемости крови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3002 13 000 0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иммунологические продукты, несмешанные, не расфасованные в виде дозированных лекарственных форм или в формы или упаковки для розничной продажи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3002 14 000 0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иммунологические продукты, смешанные, не расфасованные в виде дозированных лекарственных форм или в формы или упаковки для розничной продажи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3002 15 000 0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иммунологические продукты, расфасованные в виде дозированных лекарственных форм или в формы или упаковки для розничной продажи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3002 19 000 0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3004 41 000 0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эфедрин или его соли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3004 42 000 0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псевдоэфедрин (INN) или его соли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3004 43 000 0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норэфедрин или его соли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3004 49 000 1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 и содержащие в качестве основного действующего вещества только: кофеин-бензоат натрия или ксантинола никотинат, или папаверин, или пилокарпин, или теобромин, или теофиллин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3004 49 000 9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3004 60 000 0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противомалярийные активные (действующие) вещества, указанные в примечании к субпозициям 2 к данной группе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3006 60 000 1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3006 60 000 9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основе спермицидов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3808 59 000 5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гербициды, содержащие алахлор (ISO) или алдикарб (ISO), или азинфос метил (ISO), или эндосульфан (ISO), или простые эфиры пента- и октабромдифенила, или пентафтороктансульфоновую кислоту и ее соли, или перфтороктансульфонамиды, или перфтороктансульфонилфторид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3824 84 000 0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альдрин (ISO), камфехлор (ISO) (токсафен), хлордан (ISO), хлордекон (ISO), ДДТ (ISO) (клофенотан (INN), 1,1,1-трихлор-2,2-бис(п-хлорфенил)этан), диэлдрин (ISO, INN), эндосульфан (ISO), эндрин (ISO), гептахлор (ISO) или мирекс (ISO)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3824 85 000 0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1,2,3,4,5,6-гексахлорциклогексан (ГХГ (ISO)), включая линдан (ISO, INN)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3824 86 000 0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пентахлорбензол (ISO) или гексахлорбензол (ISO)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3824 87 000 0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перфтороктансульфоновую кислоту, ее соли, перфтороктансульфонамиды или перфтороктансульфонилфторид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3824 88 000 0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тетра-, пента-, гекса-, гепта- или октабромдифениловые простые эфиры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3824 99 640 0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3824 99 920 3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пропитывающая жидкость для производства силовых конденсаторов</w:t>
            </w:r>
            <w:r>
              <w:rPr>
                <w:rFonts w:ascii="Times New Roman"/>
                <w:b w:val="false"/>
                <w:i w:val="false"/>
                <w:color w:val="000000"/>
                <w:vertAlign w:val="superscript"/>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3824 99 920 9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3824 99 930 9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3824 99 960 9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3907 69 000 0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8414 60 000 1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наименьшим горизонтальным размером не более 100 см, вертикальным размером не более 130 см, номинальным напряжением не более 250 В, производительностью не более 1500 м</w:t>
            </w:r>
            <w:r>
              <w:rPr>
                <w:rFonts w:ascii="Times New Roman"/>
                <w:b w:val="false"/>
                <w:i w:val="false"/>
                <w:color w:val="000000"/>
                <w:vertAlign w:val="superscript"/>
              </w:rPr>
              <w:t>3</w:t>
            </w:r>
            <w:r>
              <w:rPr>
                <w:rFonts w:ascii="Times New Roman"/>
                <w:b w:val="false"/>
                <w:i w:val="false"/>
                <w:color w:val="000000"/>
                <w:sz w:val="20"/>
              </w:rPr>
              <w:t>/ч, с жироулавливающим элементом или местом для его установки, с посадочным местом для подсоединения воздуховода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8424 49 910 0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предназначенные для установки на тракторах или для буксирования тракторами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8424 49 990 0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8424 82 910 0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распределители порошков, предназначенные для установки на тракторах или для буксирования тракторами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8424 82 990 0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8432 31 190 0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8432 39 190 0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8501 40 200 4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8701 91 100 0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8701 91 900 0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8701 92 100 0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8701 92 900 0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8701 93 100 0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8701 93 900 0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8701 94 100 9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8701 94 900 0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8701 95 100 9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8701 95 900 0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8702 20 119 2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8702 20 119 4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8702 20 119 8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8702 20 119 9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8702 20 919 2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8702 20 919 9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8702 30 119 1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8702 30 119 9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8702 30 919 9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8702 40 000 9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8702 90 809 0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8703 23 194 0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рабочим объемом цилиндров двигателя более 1500 см</w:t>
            </w:r>
            <w:r>
              <w:rPr>
                <w:rFonts w:ascii="Times New Roman"/>
                <w:b w:val="false"/>
                <w:i w:val="false"/>
                <w:color w:val="000000"/>
                <w:vertAlign w:val="superscript"/>
              </w:rPr>
              <w:t>3</w:t>
            </w:r>
            <w:r>
              <w:rPr>
                <w:rFonts w:ascii="Times New Roman"/>
                <w:b w:val="false"/>
                <w:i w:val="false"/>
                <w:color w:val="000000"/>
                <w:sz w:val="20"/>
              </w:rPr>
              <w:t>, но не более 1800 см</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рабочим объемом цилиндров двигателя более 1800 см</w:t>
            </w:r>
            <w:r>
              <w:rPr>
                <w:rFonts w:ascii="Times New Roman"/>
                <w:b w:val="false"/>
                <w:i w:val="false"/>
                <w:color w:val="000000"/>
                <w:vertAlign w:val="superscript"/>
              </w:rPr>
              <w:t>3</w:t>
            </w:r>
            <w:r>
              <w:rPr>
                <w:rFonts w:ascii="Times New Roman"/>
                <w:b w:val="false"/>
                <w:i w:val="false"/>
                <w:color w:val="000000"/>
                <w:sz w:val="20"/>
              </w:rPr>
              <w:t>, но не более 2300 см</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8703 40 592 1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8703 50 599 1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8703 60 592 1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8703 70 599 1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8704 90 000 1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полной массой транспортного средства не более 5 т, приводимые в движение только электрическим двигателем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9406 90 310 0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теплицы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