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1a3d" w14:textId="74a1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координации согласования проектов актов, входящих в право Евразийского экономического союза, связанных с оформлением и использованием документов, необходимых для осуществления внешнеэкономической деятельности, оказывающих влияние на развитие национальных механизмов "единого окна"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26 января 2016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29.01.2016 -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реализации подпункта 3.3.2 детализированного плана на 2015 год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4 февраля 2015 г. №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подготовке и согласовании проектов актов, входящих в право Евразийского экономического союза, связанных с оформлением и использованием документов, необходимых для осуществления внешнеэкономической деятельности, оказывающих влияние на развитие национальных механизмов «единого окна», департаментам Евразийской экономической комиссии, компетенция которых связана со сферами таможенного, валютного, налогового, таможенно-тарифного, нетарифного, технического регулирования, применения санитарных, ветеринарно-санитарных, карантинных фитосанитарных мер, регулирования финансовых услуг (банковских, страховых), транспорта и перевозок, интеллектуальной собственности, обеспечить согласование указанных проектов актов с департаментами Евразийской экономической комиссии, к компетенции которых относятся вопросы таможенной инфраструктуры и информационных технологий, в части необходимости включения положений, предусматривающих: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оформления документов в виде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оформления и использования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форматов и структур электронных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рабочей группы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деятельности, созданной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124, обеспечить включение в ежегодные детализированные планы по реализации Основных направлений развития механизма «единого окна» в системе регулирования внешнеэкономической деятельности мероприятий по внесению изменений в акты, входящие в право Евразийского экономического союза, связанные с оформлением и использованием документов, необходимых для осуществления внешнеэкономической деятельности, с целью создания условий для перехода на оформление и использование электронных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