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6ea2" w14:textId="7a66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июля 2019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 Положение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30), следующие изменения: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пункт 5 после абзаца второго дополнить абзацем следующего содержания: "радиоэлектронные средства и (или) высокочастотные устройства включены в состав бортового оборудования воздушных, водных судов;";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подпункте "в" пункта 9:  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составе бортового оборудования воздушных, морских (речных) судов, а также" исключить; 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"морские (речные)" заменить словом "водные".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