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db91" w14:textId="7c2d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декабря 2020 года № 20.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 и с учетом информации Евразийской экономической комиссии Высший Евразийский экономический совет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решения Высшего Евразийского экономического совета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 совместно с государствами - членами Евразийского экономического союза до 1 января 2024 г. обеспечить установление в праве Евразийского экономического союза гармонизированных требований к поставщикам услуг в области составления отчетности и бухгалтерского учета одного государства-члена, осуществляющим деятельность на территории другого государства-члена.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г. № 20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Высшего Евразийского экономического совета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секторов (подсекторов) услуг, в которых функционирует единый рынок услуг в рамках Евразийского экономического союза, утвержденный Решением Высшего Евразийского экономического совета от 23 декабря 2014 г. № 110: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55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Услуги в области составления отчетности и бухгалтерского учета (из СРС 82213, 82219 и 82220)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составления финансовых отчетов на основе информации, предоставляемой клиентом (достоверность составляемых отчетов при этом не гарантируется), ведомостей доходов, балансовых ведомостей, анализа балансовых ведомостей и счетов (за исключением услуг по составлению деклараций по налогам на предпринимательскую деятельность);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проверки, оценки и подготовки финансовых отчетов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классификации и регистрации коммерческих операций в денежном выражении или другой единице измерения в бухгалтерских книгах;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 по составлению (заполнению) налоговых деклараций по налогам на предпринимательскую деятельность, предоставляемых вместе с подготовкой финансовых отчетов.";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сносками 14 и 15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с 1 января 2025 г. после установления в праве Евразийского экономического союза гармонизированных требований к поставщикам услуг в области составления отчетности и бухгалтерского учета одного государства - члена Евразийского экономического союза, осуществляющим деятельность на территории другого государства - члена Евразийского экономического союза, за исключением услуг, предоставляемых банкам, небанковским кредитно- финансовым организациям.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относится к услугам аудита.".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пункте 9 плана либерализации по формированию единого рынка услуг в области составления отчетности и бухгалтерского учета, утвержденного Решением Высшего Евразийского экономического совета от 26 декабря 2016 г. № 22, в графе второй слова "2021 год" заменить словами "2025 год".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