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5b05" w14:textId="7025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евразийских транспортных коридоров и 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22 декабря 2020 года № 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Договора о Евразийском экономическом союзе от 29 мая 2014 года и во исполнение пункта 14 плана мероприятий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на 2018 – 2020 годы,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25 октября 2017 г. № 3,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необходимости создания и развития евразийских транспортных коридоров и маршрутов,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важность реализации и развития транзитного потенциала в рамках Евразийского экономического союза (далее – Союз) и повышения уровня транспортной связуемости в каждом из государств – членов Союза,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Союза с даты опубликования настоящей Рекомендации на официальном сайте Союза: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Содействовать приоритетному развитию и синхронизации эксплуатационных характеристик транспортных коридоров и маршрутов, включенных в перечень евразийских транспортных коридоров и маршрутов, размещенный на официальном сайте Евразийского экономического союза по адресу: http://eec.eaeunion.org/ru/act/ energetikaiinfr/transport/Documents/transport.pdf и актуализируемый по мере необходимости Евразийской экономической комиссией совместно с государствами – членами Союза.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