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f230" w14:textId="55af2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антидемпинговой меры посредством введения антидемпинговой пошлины в отношении меламина, происходящего из Китайской Народной Республики и ввозимого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5 апреля 2022 года № 56.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и на основании доклада Департамента защиты внутреннего рынка Евразийской экономической комиссии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Применить антидемпинговую меру посредством введения антидемпинговой пошлины в размерах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отношении ввозимого на таможенную территорию Евразийского экономического союза меламина, происходящего из Китайской Народной Республики и классифицируемого кодом 2933 61 000 0 ТН ВЭД ЕАЭС, установив срок действия данной антидемпинговой меры 5 лет.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антидемпинговая пошлина, предусмотренная настоящим Решением, не уплачивается в отношении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товара, изготавливаемого производителями, указанными в перечне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 наличии у декларанта таких товаров на дату регистрации декларации на товары сертификата производителя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, подписанного уполномоченным сотрудником соответствующего производителя и заверенного печатью такого производителя, и при заявлении сведений о таком сертификате в декларации на товары при ее подаче таможенному органу.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Одобрить принятые производителями по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ценовые обязательства.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защиты внутреннего рынка Евразийской экономической комиссии: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направить государственным органам государств – членов Евразийского экономического союза, уполномоченным в сфере таможенного дела, образцы подписей уполномоченных сотрудников и оттисков печатей производителей, указанных в перечне,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исполнением ценовых обязательств, предусмотренных настоящим Решением;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мониторинг соблюдения представленных акционерным обществом "Невинномысский Азот" рекомендованных подходов к осуществлению поставок меламина в государства – члены Евразийского экономического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рекомендованные подходы);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несоблюдения акционерным обществом "Невинномысский Азот" рекомендованных подходов, в том числе с учетом информации, поступившей от потребителя государства – члена Евразийского экономического союза, уполномоченного государственного органа государства – члена Евразийского экономического союза, рассмотреть вопрос о проведении пересмотра антидемпинговой меры, установленной настоящим Решением,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Государственным органам государств – членов Евразийского экономического союза, уполномоченным в сфере таможенного дела, обеспечить взимание антидемпинговой пошлины, предусмотренной настоящим Решением, руководствуясь кодом ТН ВЭД ЕАЭС.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по истечении 30 календарных дней с даты его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апреля 2022 г. № 56 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</w:t>
      </w:r>
      <w:r>
        <w:br/>
      </w:r>
      <w:r>
        <w:rPr>
          <w:rFonts w:ascii="Times New Roman"/>
          <w:b/>
          <w:i w:val="false"/>
          <w:color w:val="000000"/>
        </w:rPr>
        <w:t xml:space="preserve">антидемпинговой пошлины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ставки антидемпинговой пошлины (процентов от таможенной стоимости)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Меламин, указанный в пункте 1 Решения Коллегии Евразийской экономической комиссии от 5 апреля 2022 г. № 56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Yuxiang-Diversifous Poplar Chemical Co., Ltd.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адрес: Circular Economy Industrial Park, Shaya County, Aksu District, Xinjiang, China)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Sichuan Golden-Elephant Sincerity Chemical Co., Ltd.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адрес: Meishan High-tech Industrial Park (West District), Meishan City, Sichuan Province, China)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Xinjiang Golden Elephant Sincerity Coal Chemicals&amp;T Co., Ltd.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адрес: West Area of Fukang Industrial Park, Changji Prefecture, Xinjiang (West Side of Yaochi 220KV Substation, South of Wuzhun Railway, North of S303), China)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Xinjiang Xinlianxin Energy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Chemical Co., Ltd.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адрес: Taxi River Industry Zone, Baojiadian Town, Manasi County, Changji Prefecture, Xinjiang, China)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2022 г. № 56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производителей, ценовые обязательства которых одобрены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регистрации в Евразийской экономической комиссии письма, которым представлены обязательства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Yuxiang-Diversifous Poplar Chemical Co., Ltd. (юридический адрес: Circular Economy Industrial Park, Shaya County, Aksu District, Xinjiang, China)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февраля 2022 г.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ДЗВР-68конф/AD-34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Sichuan Golden-Elephant Sincerity Chemical Co., Ltd. (юридический адрес: Meishan High-tech Industrial Park (West District), Meishan City, Sichuan Province, China)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16 февраля 2022 г. № ДЗВР-68конф/AD-34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Xinjiang Golden Elephant Sincerity Coal Chemicals&amp;T Co., Ltd. (юридический адрес: West Area of Fukang Industrial Park, Changji Prefecture, Xinjiang (West Side of Yaochi 220KV Substation, South of Wuzhun Railway, North of S303), China)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16 февраля 2022 г. № ДЗВР-68конф/AD-34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Xinjiang Xinlianxin Energy Chemical Co., Ltd. (юридический адрес: Taxi River Industry Zone, Baojiadian Town, Manasi County, Changji Prefecture, Xinjiang, China)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февраля 2022 г.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ДЗВР-67конф/AD-34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2022 г. № 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СЕРТИФИКАТ ПРОИЗВОДИТЕЛЯ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Производитель (наименование, адрес)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Порядковый номер и дата выдачи сертификата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Экспортер (наименование, адрес)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Страна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Импортер – резидент государства –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 Евразийского экономического союза (наименование,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Инвойс (номер, дата)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Код ТН ВЭД ЕАЭС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Номер транспортного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Сведения о товаре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другие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 (указываются разновидности товара в соответствии с обязательствами)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нетто (тонн)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(долларов 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(долларов США)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Я, нижеподписавшийся, подтверждаю, что продажа с целью экспорта на таможенную территорию Евразийского экономического союза товаров, указанных в пункте 9 настоящего сертификата, совершается с соблюдением принятых обязательств. Я подтверждаю, что сведения, указанные в настоящем сертификате, являются полными и точными.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(дата)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             ___________________               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(должность)                                             (подпись)                                (Ф.И.О.)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(М.П.)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26"/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Сертификат заполняется печатным способом на русском языке, за исключением пунктов 1 и 3 сертификата, заполняемых на русском или английском языке.</w:t>
      </w:r>
    </w:p>
    <w:bookmarkEnd w:id="27"/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Срок действия сертификата составляет 90 календарных дней со дня его выдачи.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пункте 4 сертификата указывается страна назначения в соответствии с классификатором стран мира, утверждаемым Евразийской экономической комиссией.</w:t>
      </w:r>
    </w:p>
    <w:bookmarkEnd w:id="29"/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пункте 6 сертификата указываются номер и дата инвойса, используемого при таможенном декларировании.</w:t>
      </w:r>
    </w:p>
    <w:bookmarkEnd w:id="30"/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пункте 8 сертификата указывается регистрационный номер транспортного средства, которым ввозится товар на таможенную территорию Евразийского экономического союза.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пункте 9 сертификата указываются цифрами цена товара за тонну и стоимость товара, фактически уплаченная или подлежащая уплате покупателем товара в соответствии со схемой продаж, предусмотренной обязательствами.</w:t>
      </w:r>
    </w:p>
    <w:bookmarkEnd w:id="32"/>
    <w:bookmarkStart w:name="z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Исправления и (или) дополнения вносятся в сертификат путем зачеркивания ошибочной информации и надпечатывания откорректированных сведений, которые заверяются печатью производителя.</w:t>
      </w:r>
    </w:p>
    <w:bookmarkEnd w:id="33"/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сертификате не допускается использование факсимиле подписей лиц, а также наличие подчисток, исправлений и (или) дополнений, не заверенных в порядке, указанном в пункте 7 настоящих примечаний.</w:t>
      </w:r>
    </w:p>
    <w:bookmarkEnd w:id="34"/>
    <w:bookmarkStart w:name="z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Сертификат признается недействительным в следующих случаях:</w:t>
      </w:r>
    </w:p>
    <w:bookmarkEnd w:id="35"/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сертификата истек;</w:t>
      </w:r>
    </w:p>
    <w:bookmarkEnd w:id="36"/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сертификата не соответствует форме, предусмотренной настоящим приложением, и (или) сертификат не заполнен в соответствии с требованиями пунктов 1 – 8 настоящих примечаний;</w:t>
      </w:r>
    </w:p>
    <w:bookmarkEnd w:id="37"/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в сертификате, не соответствуют сведениям, заявленным в декларации на товары, и (или) не позволяют провести однозначную идентификацию товара;</w:t>
      </w:r>
    </w:p>
    <w:bookmarkEnd w:id="38"/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проставленные в сертификате подпись и (или) печать не соответствуют образцам подписей и (или) оттисков печати, имеющимся в наличии у таможенного органа.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2022 г. № 56</w:t>
            </w:r>
          </w:p>
        </w:tc>
      </w:tr>
    </w:tbl>
    <w:bookmarkStart w:name="z6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РЕКОМЕНДОВАННЫЕ ПОДХОДЫ</w:t>
      </w:r>
      <w:r>
        <w:br/>
      </w:r>
      <w:r>
        <w:rPr>
          <w:rFonts w:ascii="Times New Roman"/>
          <w:b/>
          <w:i w:val="false"/>
          <w:color w:val="000000"/>
        </w:rPr>
        <w:t>к осуществлению поставок меламина в государства – члены Евразийского экономического союза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Приоритизация поставок меламина потребителям в государствах – членах Евразийского экономического союза перед поставками на экспорт за пределы таможенной территории Евразийского экономического союза.</w:t>
      </w:r>
    </w:p>
    <w:bookmarkEnd w:id="41"/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Сохранение долгосрочных контрактных обязательств с потребителями меламина в государствах – членах Евразийского экономического союза. 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Приоритизация долгосрочных контрактных обязательств перед спотовыми (краткосрочными/разовыми) контрактными обязательствами на рынке Евразийского экономического союза. </w:t>
      </w:r>
    </w:p>
    <w:bookmarkEnd w:id="43"/>
    <w:bookmarkStart w:name="z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Соблюдение принципов прозрачного, конкурентного и обоснованного ценообразования в отношении меламина, в том числе с применением механизмов формульного ценообразования, предусматривающих зависимость цены на товар от динамики изменения публикуемых в открытых аналитических источниках ценовых котировок на меламин и стоимости сырья для производства меламина.</w:t>
      </w:r>
    </w:p>
    <w:bookmarkEnd w:id="44"/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Сохранение единой ценовой политики и одинаковых цен на условиях франко-завод для потребителей меламина во всех государствах – членах Евразийского экономического союза. 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