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75f1" w14:textId="ba67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о составе реализованных на территории государства – члена Евразийского экономического союза в течение отчетного календарного года табачных изделий и выделяемых ими веществах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мая 2022 года № 82.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"Технический регламент на табачную продукцию" (ТР ТС 035/2014), принятого Решением Совета Евразийской экономической комиссии от 12 ноября 2014 г. № 107, в соответствии с подпунктом 15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 отчета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составе реализованных на территории государства – члена Евразийского экономического союза в течение отчетного календарного года табачных изделий и выделяемых ими веществах (далее – отчет).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Установить, что первым отчетным календарным годом, за который представляется отчет, является календарный год, следующий за годом введения в эксплуатацию в государстве – члене Евразийского экономического союза электронной системы, обеспечивающей конфиденциальность передачи и хранения представляемых в составе отчета данных.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Просить правительства государств – членов Евразийского экономического союза обеспечить разработку и введение в эксплуатацию предусмотренной пунктом 2 настоящего Решения электронной системы.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 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г. № 82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составе реализованных на территории государства – члена Евразийского экономического союза в течение отчетного календарного года табачных изделий и выделяемых ими веществах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составе реализованных на территории государства – члена Евразийского экономического союза табачных изделий и выделяемых ими веществах в течение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____________ года</w:t>
      </w:r>
    </w:p>
    <w:bookmarkEnd w:id="7"/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табачного изделия________________________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табачной продукции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 Информация о составе табачного изделия: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 масса табачного изделия (мг) 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Массой табачного изделия для весовых табачных изделий (с учетом влажности) считается: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750 мг табака курительного тонкорезаного;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1 г иных табачных изделий (табак для кальяна, табак трубочный).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Массой штучного табачного изделия (сигарета, сигара, сигарилла (сигарита), папироса, биди, кретек) считается масса (с учетом влажности) одной его единицы.</w:t>
            </w:r>
          </w:p>
        </w:tc>
      </w:tr>
    </w:tbl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2) масса табака в табачном изделии (мг)_______________________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 ингредиенты, добавляемые к табаку: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ингредиента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(мг) ингредиента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ингредиента (в процентах по отношению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массе табачного изделия),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ингредиента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Масса табачного ингредиента (мг) рассчитывается при необходимости через его долю по отношению к массе табачного изделия.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По назначению ингредиенты, добавляемые к табаку, подразделяются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добавки, усиливающие эффект привыкания, клеи, связующие вещества, красители, модификаторы горения, волокна, наполнители, ароматизаторы, влагоудерживающие вещества, консерванты, технологические добавки, растворители, добавки, улучшающие свойства дыма, модификаторы цвета дыма, модификаторы запаха дыма и другого назначения.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Наименование ингредиента, его масса и доля указываются в соответствии с рецептурой (спецификацией) табачных изделий.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ингредиенты, содержащиеся в нетабачных материалах (по категориям нетабачных материалов, в которых они содержатся):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ингредиента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нетабачных 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(мг) ингредиента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ингредиента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по отношению к массе табачного изделия),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Нетабачные материалы подразделяются на следующие категории: папиросная, сигаретная, ободковая и мундштучная бумага, оберточная бумага для фильтров (фицелла), фильтрующий материал, клеи, чернила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Масса ингредиента (мг) рассчитывается при необходимости через его долю по отношению к массе табачного изделия.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Наименование ингредиента, его масса и доля указываются в соответствии с рецептурой (спецификацией) нетабачных материалов.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Информация о содержании смолы, никотина и монооксида углерода в дыме сигареты и на добровольной основе других выделяемых веществах*(мг/сиг.) по каждому наименованию:</w:t>
      </w:r>
    </w:p>
    <w:bookmarkEnd w:id="15"/>
    <w:p>
      <w:pPr>
        <w:spacing w:after="0"/>
        <w:ind w:left="0"/>
        <w:jc w:val="both"/>
      </w:pPr>
      <w:bookmarkStart w:name="z29" w:id="16"/>
      <w:r>
        <w:rPr>
          <w:rFonts w:ascii="Times New Roman"/>
          <w:b w:val="false"/>
          <w:i w:val="false"/>
          <w:color w:val="000000"/>
          <w:sz w:val="28"/>
        </w:rPr>
        <w:t>
      1) содержание смолы 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 содержание никотина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 содержание монооксида углерода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4) ________________________________________________________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их установления (выявления) изготовителем при разработке или производстве табачных изделий.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Информация о проведении в отчетный период изготовителем и (или) импортером табачной продукции, или по их заказу, токсикологических исследований в отношении ингредиентов, содержащихся в табачных изделиях.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Проводились ли токсикологические исследования?</w:t>
      </w:r>
    </w:p>
    <w:bookmarkEnd w:id="19"/>
    <w:p>
      <w:pPr>
        <w:spacing w:after="0"/>
        <w:ind w:left="0"/>
        <w:jc w:val="both"/>
      </w:pPr>
      <w:bookmarkStart w:name="z33" w:id="20"/>
      <w:r>
        <w:rPr>
          <w:rFonts w:ascii="Times New Roman"/>
          <w:b w:val="false"/>
          <w:i w:val="false"/>
          <w:color w:val="000000"/>
          <w:sz w:val="28"/>
        </w:rPr>
        <w:t>
      □ Да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□ Нет</w:t>
      </w:r>
    </w:p>
    <w:p>
      <w:pPr>
        <w:spacing w:after="0"/>
        <w:ind w:left="0"/>
        <w:jc w:val="both"/>
      </w:pPr>
      <w:bookmarkStart w:name="z34" w:id="21"/>
      <w:r>
        <w:rPr>
          <w:rFonts w:ascii="Times New Roman"/>
          <w:b w:val="false"/>
          <w:i w:val="false"/>
          <w:color w:val="000000"/>
          <w:sz w:val="28"/>
        </w:rPr>
        <w:t>
      4. Сведения, составляющие коммерческую тайну (являющиеся информацией конфиденциального характера), указаны в 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(пункты таблиц, предусмотренных подпунктами 3 и 4 пункта 1 настоящего отчета)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При отсутствии сведений, составляющих коммерческую тайну (являющихся информацией конфиденциального характера), проставляется прочерк.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В отношении сведений, составляющих коммерческую тайну (являющихся информацией конфиденциального характера), уполномоченными органами государств – членов Евразийского экономического союза в сфере здравоохранения обеспечивается режим охраны конфиденциальности информации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законодательством государств – членов Евразийского экономического союза.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изготовителя, контролирующей организации или импортера табачной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продукции – 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                  (подпись)                   (Ф. И. 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____________20___г.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