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1530" w14:textId="0ff1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перспективных направлениях сотрудничества государств – членов Евразийского экономического союза в сфере водородной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24 января 2023 года № 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абзацем вторым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Основных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промышленного сотрудничества в рамках Евразийского экономического союза до 2025 года, утвержденных Решением Евразийского межправительственного совета от 30 апреля 2021 г. № 5,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важность создания условий для использования промышленного потенциала Евразийского экономического союза (далее – Союз) в целях развития промышленной кооперации в сфере водородной энергетики на территориях государств – членов Союза (далее – государства-члены),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Союза: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Учитывать возможность использования каталога научно-исследовательских проектов, оборудования и комплектующих в государствах – членах Евразийского экономического союза в сфере водородной энергетики, размещенного на официальном сайте Союза по адресу: https://eec.eaeunion.org/comission/department/dep_prom/bazy-dannykh-reestry/.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Содействовать участию производителей в кооперационных и технологических цепочках в части создания оборудования для производства, хранения, транспортировки и применения водорода.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Проработать вопрос развития с учетом интеграционного потенциала Союза научно-технического сотрудничества и кооперации, в том числе в части: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обмена опытом в сфере производства, хранения и транспортировки водорода;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стимулирования проведения совместных научных исследований и разработки технологий организациями государств-членов по следующим перспективным направлениям сотрудничества в сфере водородной энергетики: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низкоуглеродного водорода методом электролиза воды за счет использования электрической энергии атомных электростанций, малых гидроэлектростанций и возобновляемых источников энергии;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низкоуглеродного водорода различными методами из углеводородов;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компримирование, ожижение, хранение и транспортировка водорода;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водородный транспорт и инфраструктура, необходимая для его применения;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для твердооксидных электролизеров и топливных элементов, а также для применения перспективных технологий хранения водорода.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