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b29d" w14:textId="37eb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общих подходах к защите прав потребителей в электронной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11 мая 2023 года № 10.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4.12.4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  года, утвержденных Решением Высшего Евразийского экономического совета от 11 декабря 2020 г. № 12, и пунктом 6 плана мероприятий по реализации Программы совместных действий государств – членов Евразийского экономического союза в сфере защиты прав потребителей (приложение к Программе, утвержденной распоряжением Евразийского межправительственного совета от 21 июня 2022 г. № 12),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права потребителей и их защита гарантируются законодательством государств – членов Евразийского экономического союза в сфере защиты прав потребителей, а также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 – членам Евразийского экономического союза (далее – Союз) с даты опубликования настоящей Рекомендации на официальном сайте Союза при разработке нормативных правовых актов, регулирующих вопросы защиты прав потребителей, учитывать общие подходы к защите прав потребителей в электронной торговле, размещенные на официальном сайте Союза по адресу: https://eec.eaeunion.org/upload/files/depsanmer/zpp_e-сommerce.pdf.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