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a73bee" w14:textId="2a73be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18 марта 2003 года N 259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29 сентября 2003 года N 996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18 марта 2003 года N 259 "О некоторых вопросах кредитования и субсидирования агропромышленного сектора" следующие изменения: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Правилах субсидирования ставки вознаграждения (интереса) по кредитам, выдаваемым банками второго уровня предприятиям по переработке сельскохозяйственной продукции на пополнение их оборотных средств, утвержденных указанным постановлением: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 первый пункта 3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"3. Сумма субсидирования, предоставляемая из республиканского бюджета, составляет до 80 % от процентной ставки кредита, выдаваемого Банком Заемщику. При этом доля субсидируемой части процентной ставки кредита должна быть равной для всех Заемщиков.";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абзацы с первого по десятый пункта 5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"5. Средства для субсидирования процентной ставки Администратор программы распределяет по кредитам, выдаваемым Банками Заемщикам по следующим подотраслям (лотам):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переработка мяса;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переработка молока;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переработка кожсырья и шерсти;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переработка плодов, ягод, овощей и производство плодоовощных консервов, детского питания;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переработка масличных культур и производство растительного масла".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 второй пункта 9 исключить.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вступает в силу со дня подписания.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