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6e40d" w14:textId="c26e4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переводе отдельных участков земель лесного фонда в земли другой категории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июня 2013 года № 604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130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 и </w:t>
      </w:r>
      <w:r>
        <w:rPr>
          <w:rFonts w:ascii="Times New Roman"/>
          <w:b w:val="false"/>
          <w:i w:val="false"/>
          <w:color w:val="000000"/>
          <w:sz w:val="28"/>
        </w:rPr>
        <w:t>статьей 51</w:t>
      </w:r>
      <w:r>
        <w:rPr>
          <w:rFonts w:ascii="Times New Roman"/>
          <w:b w:val="false"/>
          <w:i w:val="false"/>
          <w:color w:val="000000"/>
          <w:sz w:val="28"/>
        </w:rPr>
        <w:t xml:space="preserve"> Лесного кодекса Республики Казахстан от 8 июля 2003 года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Перевести земельные участки государственного учреждения «Нарынкольское государственное учреждение лесного хозяйства» управления природных ресурсов и регулирования природопользования Алматинской области (далее - учреждение) площадью 26,44 гектара из категории земель государственного лесного фонда в категорию земель промышленности, транспорта, связи, для нужд космической деятельности, обороны, национальной безопасности и иного несельскохозяйственного назначения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Акиму Алматинской области в установленном законодательством Республики Казахстан порядке обеспечить предоставление товариществу с ограниченной ответственностью «КазГидроКаскад» (далее - товарищество) земельных участков,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постановления для строительства каскада гидроэлектростанций на реке Текес.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Товариществу в соответствии с действующим законодательством Республики Казахстан возместить в доход республиканского бюджета потери лесохозяйственного и сельскохозяйственного производства, вызванные изъятием лесных и сельскохозяйственных угодий, для использования их в целях, не связанных с ведением лесного и сельского хозяйства, и принять меры по расчистке площади с передачей полученной древесины на баланс учреждения.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17 июня 2013 года № 604  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Экспликация</w:t>
      </w:r>
      <w:r>
        <w:br/>
      </w:r>
      <w:r>
        <w:rPr>
          <w:rFonts w:ascii="Times New Roman"/>
          <w:b/>
          <w:i w:val="false"/>
          <w:color w:val="000000"/>
        </w:rPr>
        <w:t>
земель лесного фонда, переводимых в категорию земель</w:t>
      </w:r>
      <w:r>
        <w:br/>
      </w:r>
      <w:r>
        <w:rPr>
          <w:rFonts w:ascii="Times New Roman"/>
          <w:b/>
          <w:i w:val="false"/>
          <w:color w:val="000000"/>
        </w:rPr>
        <w:t>
промышленности, транспорта, связи, для нужд</w:t>
      </w:r>
      <w:r>
        <w:br/>
      </w:r>
      <w:r>
        <w:rPr>
          <w:rFonts w:ascii="Times New Roman"/>
          <w:b/>
          <w:i w:val="false"/>
          <w:color w:val="000000"/>
        </w:rPr>
        <w:t>
космической деятельности, обороны, национальной</w:t>
      </w:r>
      <w:r>
        <w:br/>
      </w:r>
      <w:r>
        <w:rPr>
          <w:rFonts w:ascii="Times New Roman"/>
          <w:b/>
          <w:i w:val="false"/>
          <w:color w:val="000000"/>
        </w:rPr>
        <w:t>
безопасности и иного несельскохозяйственного назначения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3799"/>
        <w:gridCol w:w="1386"/>
        <w:gridCol w:w="1484"/>
        <w:gridCol w:w="1562"/>
        <w:gridCol w:w="1533"/>
        <w:gridCol w:w="1349"/>
        <w:gridCol w:w="1119"/>
        <w:gridCol w:w="1164"/>
      </w:tblGrid>
      <w:tr>
        <w:trPr>
          <w:trHeight w:val="30" w:hRule="atLeast"/>
        </w:trPr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7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землепользователя</w:t>
            </w:r>
          </w:p>
        </w:tc>
        <w:tc>
          <w:tcPr>
            <w:tcW w:w="13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площадь,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гектаров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покрытая лесом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прогалины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пастбища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сенокосы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дороги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земли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«Нарынкольское государственное учреждение лесного хозяйства» управления природных ресурсов и регулирования природопользования Алматинской области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26,44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6,5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0,74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18,7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26,44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6,5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0,74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18,7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