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0b5a" w14:textId="a7a0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Генеральном плане города Шымкента (включая основные положения)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2023 года № 916.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"Об архитектурной, градостроительной и строительной деятельности в Республике Казахстан", в целях обеспечения комплексного развития города Шымкента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Генерального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Шымкента (включая основные положения), одобренный маслихатом города Шымкента.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2012 года № 1134 "О генеральном плане города Шымкент Южно-Казахстанской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2023 года № 916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Генеральный план города Шымкента (включая основные положения)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города Шымкента (далее – Генеральный план) является основным градостроительным документом, определяющим направления перспективного комплексного развития, планировочной организации территории, системы социальной и инженерно-транспортной инфраструктуры города.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план разработан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Земельного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</w:t>
      </w:r>
      <w:r>
        <w:rPr>
          <w:rFonts w:ascii="Times New Roman"/>
          <w:b w:val="false"/>
          <w:i w:val="false"/>
          <w:color w:val="000000"/>
          <w:sz w:val="28"/>
        </w:rPr>
        <w:t>Казахстан "Об архитектурной, градостроительной и строительной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других законодательных актов и нормативных документов Республики Казахстан, относящихся к сфере градостроительного проектирования.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Генерального плана (основной чертеж) выполнена в существующих административно-территориальных границах города с учетом перспективного развития территорий согласно приложению к настоящему Генеральному плану.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приняты следующие проектные периоды: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исходный год – на 1 января 2021 года;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первая очередь строительства – 2027 год;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расчетный срок – 2035 год.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Назначение Генерального плана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Генеральный план разработан с учетом взаимосвязанности Шымкента и Шымкентской агломерации.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определяет: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направления развития территории города Шымкента (далее – город), включая социальную, рекреационную, производственную, транспортную и инженерную инфраструктуры, с учетом природно-климатических, сложившихся и прогнозируемых демографических и социально-экономических условий;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функциональное зонирование и ограничение на использование территорий этих зон;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меры по защите территории от опасных (вредных) воздействий природных и техногенных явлений и процессов, улучшению экологической обстановки;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основные направления по разработке транспортного раздела, генеральную схему улично-дорожной сети и комплексную схему организации дорожного движения;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меры по обеспечению устойчивого развития города.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является основой для разработки и осуществления перспективных и первоочередных программ развития городской инфраструктуры, сохранения и развития территорий природного комплекса, реконструкции жилых и реорганизации производственных территорий, развития общественных, деловых и культурных центров, объектов туризма и отдыха, комплексного благоустройства и эстетической организации городской среды, разработки и реализации градостроительных планов развития территорий пяти административных районов и других территориальных единиц Шымкента, проектов планировки и застройки города.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является основой для разработки: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долгосрочных и краткосрочных программ социально-экономического развития города;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комплексных схем развития электроснабжения, теплоснабжения, водоснабжения и других инженерных систем;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комплексной транспортной схемы города (далее – КТС);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отраслевых схем развития и размещения социально значимых объектов образования и здравоохранения на территории города;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проектов детальной планировки и застройки территории города по реализации утвержденного Генерального плана;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комплексных планов застройки на краткосрочные периоды;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программ реконструкции и развития жилых, производственных и коммунально-складских территорий;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планов сохранения и реабилитации исторической застройки и объектов исторического и культурного наследия;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программ развития территорий рекреационных зон и озеленения;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планов комплексного благоустройства и преобразования общественных пространств;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правил застройки города.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Социально-экономическое развитие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Демография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Численность населения в пределах административных границ территории города составила в исходном году 1074,5 тыс. человек.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численности населения города на расчетный срок выполнен с учетом объективно происходящих изменений в естественном и миграционном движении населения.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Перспективная численность населения определена методом статистической экстраполяции и трудового баланса с учетом оптимального включения населения в трудоспособном возрасте в деятельность во всех сферах социально-экономической деятельности.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численность населения города составит: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очередь строительства (2027 год) – 1450 тыс. человек;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расчетный срок (2035 год) – 1850 тыс. человек.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прогнозный прирост населения составит по периодам проектирования: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очередь строительства (7 лет) – 337,5 тыс. человек. (48 тыс. человек/год);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(8 лет) – 400 тыс. человек (50 тыс. человек/год)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Население в трудоспособном возрасте к концу расчетного срока составит по прогнозу 67,6 % от численности населения города.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Жилищно-гражданское строительство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Жилищный фонд города составляет в исходном году 19844,9 тыс. м² общей площади (135740 ед. домов) при средней расчетной жилищной обеспеченности всего населения города общей площадью квартир – 18,5 м² на одного жителя.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Жилищный фонд города на современном уровне представлен преимущественно 1-2 этажными домами индивидуального жилищного строительства (далее – ИЖС) – 13850,7 тыс. м² общей площади, составляющими 70 % всего наличия жилищного фонда, доля многоэтажных жилищных комплексов определилась в 30 % всего фонда, что составляет 5994,2 тыс. м² общей площади.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комплексного формирования жилой среды предусматривают доведение обеспеченности жильем всего населения города к расчетному сроку до 27,8 м² общей площади на одного человека, т.е. с приростом на 9,3 м² общей площади на одного человека.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прогноза объемов нового жилищного строительства общая расчетная нормативная площадь обеспеченности населения принята в размере общей площади: 25 м²/человек на первую очередь и 30 м²/человек на расчетный срок.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нового жилищного строительства за период 2021 – 2035 годы составит 31610,0 тыс. м² общей площади, в том числе в домах с приусадебными участками – 4800,0 тыс. м² (15 %), малоэтажных застройках типа таунхауз (2-3 этажа) – 1580,0 тыс. м² (5 %) и многоквартирных многоэтажных домах – 25230,0 тыс. м² общей площади (80 %).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Ориентировочный среднегодовой объем прогноза ввода нового жилищного фонда (объемов нового жилищного строительства) за 15-ти летний период развития Генерального плана города составит порядка 2,1 млн м² общей площади/год.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потребность города в территориальных ресурсах до 2035 года для целей жилищного строительства на уровне застройки жилого района составит 9492 га, в том числе на период 2021 – 2027 годы – 3924 га, а на период 2028 – 2035 годы – 5568 га.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первого этапа строительства (2021 – 2027 годы) объем строительства нового жилищного фонда составит 13210,0 тыс. м² общей площади, из них в домах с приусадебными участками – 2880,0 тыс. м², средне этажных домах (таунхаузах) – 665,0 тыс. м² и многоквартирных многоэтажных домах – 9 665,0 тыс. м² общей площади.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Сфера общественного обслуживания. Генеральным планом предусматривается развитие социальной сферы с учетом новых социально-экономических и градостроительных условий в направлении достижения нормативных показателей обеспеченности населения бесплатными услугами социально значимых объектов в сочетании с развитием негосударственных форм обслуживания.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фонд объектов общественного обслуживания города по состоянию на 1 января 2021 года по данным опорного плана составляет 6 156,98 тыс. м² общей площади.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нового строительства объектов общественного обслуживания Шымкента на перспективу в период 2021 – 2035 годы составят 8514,34 тыс. м² общей площади, территории, необходимые для строительства отдельно стоящих объектов обслуживания, – 1290 га.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Общий фонд общественной застройки на 1 января 2036 года достигнет 14671,32 тыс. м² общей площади, что эквивалентно 7,93 м² общей площади на человека при существующем показателе на 2021 год – 5,7 м² на человека, т.е. увеличится на 2,23 м² на человека с учетом перспективного прироста численности населения и покрытия дефицита существующего состояния в организации объектов общественного обслуживания города.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Прогноз социально-экономического развития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приоритетным направлением социально-экономического развития города является дальнейшая реализация долгосрочных приоритетов Стратегии "Казахстан – 2050" по обеспечению улучшения благосостояния населения города в рамках создания устойчивой модели казахстанской экономики.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поставленных целей продолжится решение задач по обеспечению устойчивого экономического роста города, социального благополучия и продуктивной занятости населения, а также поступательному снижению уровня инфляции и стабильности цен.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отраслей экономики города через проведение эффективной промышленной, инфраструктурной, инвестиционной и торговой политик, которые обеспечат повышение производительности, рост конкурентоспособности и качества отечественной продукции, поддержку продвижения отечественных товаров на зарубежные рынки, развития соответствующей инфраструктуры в рамках реализации действующих государственных и региональных программ: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третьей пятилетки индустриализации, цифровых технологий и развития "экономики простых вещей";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программы развития агропромышленного комплекса с увеличением производительности труда, экспорта переработанной сельскохозяйственной продукции;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государственных программ инфраструктурного и жилищного строительства, включая вопросы тепло-, водоснабжения и водоотведения, модернизации жилищного фонда, снижения цифрового неравенства, а также повышения эффективности транспортно-логистической инфраструктуры;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стимулирования инвестиций с развитием инструментов государственной поддержки;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расширения и стимулирования бизнес-среды путем дальнейшего совершенствования институциональной основы поддержки бизнеса, расширения микрокредитования посредством предоставления льготных микрокредитов, развития конкуренции и привлечения частного капитала в экономику;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повышения качества человеческого капитала через модернизацию и повышение качества образования, улучшение социального положения педагогов, а также увеличение финансирования всех уровней образования;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доступной и качественной системы здравоохранения, повышения статуса и социальной поддержки, профессиональной ответственности медицинских работников, а также обновления инфраструктуры здравоохранения;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социального обеспечения, ориентированного на повышение социальной защищенности работающих граждан, людей с ограниченными возможностями и усиление адресного характера социальной помощи, расширение продуктивной занятости и совершенствование пенсионной системы;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развития транспортно-коммуникационной инфраструктуры, способной удовлетворять потребность экономики и населения города в транспортных услугах;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стимулирования перехода на энергосберегающие технологии и "зеленую" экономику.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Модернизация промышленных зон города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городе под промышленными зонами и участками с производственной застройкой занято 3650 га территории, из них под промышленными предприятиями и организациями – 2340 га, под предприятиями коммунально-складской застройки – 1310 га.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первую очередь строительства, до 1 января 2028 года, площадь промышленных зон города увеличится на 3170 га за счет строительства новых планируемых к размещению индустриальных зон с развитием 14-ти перспективных промышленных кластеров преимущественно в северо-западном направлении и агроиндустриальной зоны пищевой промышленности "Бозарык" в юго-западном направлении.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 свое дальнейшее развитие производственные индустриальные зоны на территории города в период 2028 – 2035 годы с приростом дополнительных площадей до 1990 га, размещаемых в административных границах города с учетом среднегодового направления розы ветров.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прирост территорий новых производственных зон города Шымкент по Генеральному плану города на период 2021 – 2035 годы запланирован на площади 5160 га.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концу расчетного периода (2035 год) в социально-экономических отраслях города прогнозируется иметь 1022,2 тыс. рабочих мест.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Градостроительное развитие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градостроительной концепции Генеральный план развития города предполагает: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кардинальную модернизацию городской среды в пределах существующих границ города;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планомерную передислокацию населения из менее благоприятных для жизнедеятельности территорий в более экологически устойчивые и благоустроенные районы города;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резервирование периферийных территорий и подготовку их для перспективной инновационно-урбанизированной комплексной застройки "зелеными" кластерами различного варианта (селитебной, экологически благоприятной производственной и другими зонами);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проведение градостроительной политики по сохранению исторического колорита застройки в центре города и других исторических планировочных районах;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размещение объектов социального и культурно-бытового назначений и рекреации первичного и вторичного уровня обслуживания в районах проживания населения с учетом нормативной доступности и эффективного обслуживания населения;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формирование общественных центров по новым принципам обслуживания населения, соответствующего по оперативности, качеству, доступности, прозрачности, легитимности, ответственности и т.п.;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восстановление в исторической части города систем пешеходных связей, развитие пешеходных связей в остальной части города в увязке с системой рекреационных площадок города;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 развитие в гармоничном сочетании промышленных и сервисных функциональных зон для их рационального и эффективного освоения, в результате упрочение социально-экономической основы города-центра;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 планомерную модернизацию городской транспортной системы на основе проведения глубокой и всесторонней научно-исследовательской работы по изучению сложившихся систем транспорта города и пригородной зоны, зарубежного опыта в данном аспекте и прогнозирования его развития посредством анализа вариантов показателей системы моделирования;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 проведение глубокой и всесторонней научно-исследовательской работы по изучению сложившейся экологической обстановки и на основе изучения зарубежного опыта по данному вопросу выработку прогнозных предложений по оздоровлению экологической среды города;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 подготовку программ и планомерную их реализацию по защите населения города от опасных природных и техногенных процессов;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 другие меры, направленные на решение первоочередных вопросов жизнедеятельности города.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основных задач технико-экономических показателей нового Генерального плана является разработка модели развития города в перспективе с выделением этапов развития в пределах расчетного срока.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градостроительного развития Шымкента: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территориальное развитие во всех возможных направлениях в существующих границах с освоением новых площадок для размещения жилищно-гражданского строительства;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максимальное освоение существующих свободных территорий и реконструкция кварталов малоценного жилищного фонда;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концентрическое зонирование селитебных территорий от центра с многоэтажной застройкой к периферии с малоэтажной застройкой;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последовательное преобразование городских районов и примагистральных территорий вдоль основных городских магистралей посредством замены усадебной застройки на многоквартирную;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реконструкция территорий, прилегающих непосредственно к центральной части города;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формирование системы общегородского центра в увязке с предполагаемым направлением роста города;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формирование пяти самодостаточных городских административных районов посредством создания крупных локальных многофункциональных центров со своими административными, культурными и торгово-развлекательными функциями, спортивными сооружениями, парками, скверами и бульварами;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рациональное использование промышленных территорий в условиях сложившейся планировочной структуры с учетом градостроительных и технологических требований;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технологическая модернизация промышленных предприятий с целью исключения отрицательного воздействия на окружающую среду;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сохранение и регенерация историко-культурного наследия города;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сохранение и развитие территорий природного комплекса;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развитие системы зеленых насаждений общего пользования.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Архитектурно-планировочная организация территории и резервные территории. Проектная архитектурно-планировочная организация территории города выполнена с учетом сложившейся функционально-планировочной структуры города и разработана на основе комплексной оценки территории и сложившегося транспортно-планировочного каркаса.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площадь территории города в проектных границах остается на современном уровне исходного года – 116,28 тыс. га.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исходный год площадь застроенной территории города составила 29,6 тыс. га (25,4 %), в том числе жилая и общественная застройка – 22,93 тыс. га (19,7 %), незастроенные территории – 86,68 тыс. га (74,6%), в том числе земли сельскохозяйственного использования – 59,18 тыс. га (50,8 %).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расчетный срок до 2035 года аналогичные показатели использования территории составят: площадь застроенной территории города – 54,42 тыс. га (46,8 %), в том числе жилая и общественная застройка – 41,79 тыс. га (35,9%), незастроенные территории – 61,86 тыс. га (53,2 %), в том числе земли сельскохозяйственного использования – 30,00 тыс. га (25,7 %) соответственно.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Резервные территории для перспективного социально-экономического, территориального развития города и архитектурно-пространственной организации территорий предусмотрены преимущественно в северо-западной и юго-западной частях существующего города в основном за счет неблагоприятных для использования земель сельскохозяйственного назначения.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резервных территорий в исходном году - 0,73 га (0,6 %), а на расчетный период до 2035 года величина резервных территорий запланирована на уровне 6,42 тыс. га (5,5 %), в том числе на развитие селитебных территорий (жилой и общественной застройки) – 4,42 тыс. га (3,8 %) и развитие промышленно-производственных и коммунальных территорий – 2,00 тыс. га (1,7 %).</w:t>
      </w:r>
    </w:p>
    <w:bookmarkEnd w:id="112"/>
    <w:bookmarkStart w:name="z11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Транспортная инфраструктура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Транспортная инфраструктура должна обеспечить комфортную доступность территорий города, безопасность и надежность внутригородских, пригородных и внешних транспортных связей в условиях прогнозируемого роста демографических и социально-экономических показателей, подвижности населения, изменения объемов пассажирских и грузовых перевозок, бесконфликтного включения новых альтернативных видов транспорта, ужесточения экологических требований. Эти задачи требуют развития единой транспортной системы города, обеспечивающей взаимодействие и взаимодополняемость не моторизированных способов перемещения (пешеходное и велосипедное движение), общественного и индивидуального транспорта, городских, пригородных и внешних транспортных систем, а также предоставление возможности потребителям альтернативного выбора видов транспортного обслуживания.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 внешнего и городского транспорта предусматривает: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объездной железнодорожной ветки для пропуска транзитных составов в обход города;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нового железнодорожного вокзала пропускной способностью 20 тыс. пассажиров в сутки;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современных терминальных и логистических комплексов по обслуживанию пересадки пассажиров с одного вида транспорта на другой и перегрузке грузов, предусматривающих удобный доступ для различных транспортных систем и городского транспорта;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трех колец, работающих в скоростном режиме: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Шымкентская кольцевая автодорога (ШымКАД);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магистральные улицы общегородского значения непрерывного движения – среднее кольцо (СК) и внутреннее малое кольцо (МК);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радиальной сети магистральных улиц общегородского значения непрерывного движения, работающих в скоростном режиме и имеющих выходы на внешние магистрали;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двух линий LRT в меридиональном и широтном направлениях и пяти линий BRT.</w:t>
      </w:r>
    </w:p>
    <w:bookmarkEnd w:id="123"/>
    <w:bookmarkStart w:name="z13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Инженерная инфраструктура</w:t>
      </w:r>
    </w:p>
    <w:bookmarkEnd w:id="124"/>
    <w:bookmarkStart w:name="z13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Водоснабжение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предусматривает сохранение и развитие действующей зональной системы водопровода с увеличением ее производительности на первую очередь строительства (2027 год) до 326,79 тыс. м3/сут.; на расчетный срок (2035 год) – до 451,35 тыс. м3/сут.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водоснабжения необходимы строительство новых и реконструкция существующих водоводов и сетей.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Существующая производительность городского водопровода соответствует расчетной потребности в воде питьевого качества с обеспечением резерва ее производительности. На конец расчетного срока проекта предполагается 100 % охват потребителей города системой централизованного водоснабжения.</w:t>
      </w:r>
    </w:p>
    <w:bookmarkEnd w:id="128"/>
    <w:bookmarkStart w:name="z1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Водоотведение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развития канализационной системы Генеральным планом предусмотрено повышение надежности функционирования системы канализации с доведением ее общей мощности на первую очередь строительства (2027 год) до 304,17 тыс. м3/сут.; на расчетный срок (2035 год) – до 404,54 тыс. м³/сут.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Проектом предлагаются увеличение производительности существующих канализационных очистных сооружений (далее – КОС) до 200 тыс. м3/сутки (разработан рабочий проект) и размещение новых КОС на окраине городской территории в северо-западном направлении от площадки существующих КОС производительностью 104,17 тыс. м3/сут. на первую очередь строительства (2027 год) с увеличением производительности до 204,54 тыс. м3/сут. на расчетный срок (2035 год).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водоотведения необходимы строительство новых и реконструкция существующих канализационных коллекторов.</w:t>
      </w:r>
    </w:p>
    <w:bookmarkEnd w:id="132"/>
    <w:bookmarkStart w:name="z13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Теплоснабжение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на ТЭЦ-3 акционерного общества "3-Энергоорталык" имеется резерв по располагаемой тепловой мощности порядка 100 Гкал/ч и при соответствующем развитии станции тепловой мощности ТЭЦ будет достаточно для теплоснабжения прироста тепловых нагрузок многоэтажной жилой и общественной застройки в существующих границах зоны в период до 2035 года.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передачи тепла в районы новой застройки от новых районных и групповых котельных потребуется опережающее строительство новых тепловых сетей с целью своевременного обеспечения нагрузки отопления жилой и общественной застройки.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проекте рассматривается вариант строительства одной районной или групповой котельной для каждого пятна крупномасштабного строительства многоэтажной застройки, в то же время, учитывая длительный период реализации проекта Генерального плана (до 2035 год), теплоснабжение проектируемой жилой застройки может быть решено от нескольких котельных (по мере освоения территорий).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новых котельных должно осуществляться с применением современного высокоэффективного основного и вспомогательного оборудования. Степень экономической эффективности строительства крупных групповых котельных зависит от темпов возведения новой застройки: чем эти темпы выше, тем скорее котельные выйдут на условие нормальной эксплуатации.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Теплоснабжение новой многоэтажной жилой и общественной застройки, вводимой в зонах децентрализованного теплоснабжения, должно осуществляться от локальных газовых теплоисточников, размещаемых в непосредственной близости от потребителя, с учетом плотности застройки и концентрации тепловой нагрузки.</w:t>
      </w:r>
    </w:p>
    <w:bookmarkEnd w:id="138"/>
    <w:bookmarkStart w:name="z14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Электроснабжение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перспективу развития в городе сохраняется существующая принципиальная схема электроснабжения. Электроснабжение существующих потребителей города предполагается осуществлять по существующим электрическим сетям от существующих трансформаторных подстанций с учетом проведения реконструкции или замены трансформаторов на большую мощность (при необходимости).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электроснабжения проектной застройки на территории города требуется провести строительство дополнительных трансформаторных подстанций и линий электропередачи 35-220 кВ.</w:t>
      </w:r>
    </w:p>
    <w:bookmarkEnd w:id="141"/>
    <w:bookmarkStart w:name="z14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Газоснабжение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перспективу развития в Шымкенте сохраняется существующая схема обеспечения города на базе использования природного газа, с доведением объемов потребления до расчетных нормативных показателей.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Потребление природного газа на первую очередь строительства (2027 год) составит 317,7 млн м3/год, на расчетный срок (2035 год) – 353,7 млн м3/год.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газоснабжения проектной застройки на территории города необходимы строительство новых и реконструкция существующих сетей газоснабжения высокого и среднего давления.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Телекоммуникации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ожидаемой на первую очередь (2027 год) численности населения города в 1450 тысяч человек и принятой в данном проекте телефонной плотности (20 номеров на 100 человек) расчетная номерная емкость сети составит 290000 номеров. На расчетный срок (2035 год), при ожидаемом количестве населения 1850 тысяч человек и телефонной плотности – 20 номеров на 100 человек, расчетная номерная емкость сети составит 370000 номеров.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расчетной абонентской емкостью сети предполагается путем расширения и модернизации телекоммуникационных сетей города с посегментной интеграцией и последующим полным переходом на использование технологии Next Generation Network (NGN).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развитии сетей NGN существующие подключения и абонентская сеть сохраняются. Обеспечение связи сетей старой системы с сетями системы следующего поколения будет осуществляться за счет использования программного коммутатора Softswitch.</w:t>
      </w:r>
    </w:p>
    <w:bookmarkEnd w:id="149"/>
    <w:bookmarkStart w:name="z15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Оценка воздействия на окружающую среду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экологическим требованиям градостроительного развития города относятся: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радикальное оздоровление среды жизнедеятельности в зонах ее устойчивого экологического дискомфорта, прежде всего в центральной части, юго-восточном, восточном и северном секторах города;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защита существующих территорий природного комплекса от неблагоприятных антропогенных воздействий, реализация мер по реабилитации и воссозданию утраченных в результате хозяйственной деятельности природных территорий, а также формированию новых зеленых массивов в селитебной зоне и на территориях овражно-балочной сети в пределах города протяженностью от 7,5 км до 10 км и шириной 100-175 м;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реабилитация территорий существующих промышленных зон;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повышение комфортности среды жизнедеятельности, в том числе путем озеленения территории и улучшения мезоклиматических и микроклиматических условий в жилых и общественных зонах города.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Необходимыми условиями выполнения экологических требований к градостроительному развитию города являются: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ликвидация зон экологического риска, создающих существенную угрозу безопасности здоровья населения;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разработка проектов водоохранных полос и зон рек Бaдaм, Кошкaрaтa, Кaрaсу и Сайрамсу города и реализация комплексных программных мер по планомерному приведению их в соответствие с требованиями экологического законодательства;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организация постоянного водотока по четырем главным водным артериям города, создающего благоприятные микроклиматические условия и способствующего улучшению воздушной циркуляции прилегающих территорий;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осуществление мер по санации, реабилитации, реорганизации территорий, подвергшихся сильной техногенной нагрузке (территории несанкционированных свалок, зон загазованности и шумового дискомфорта при магистральных территориях и т.п.);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снижение валовых выбросов вредных веществ от стационарных и передвижных источников эмиссий в результате внедрения новых экологически чистых технологий;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системы производственного мониторинга на предприятиях города за выбросами предприятий и автотранспортных средств и т.д.;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внедрение экологически чистых малоотходных и безотходных технологий, бессточных циклов производств, оснащение объектов промышленности, энергетики, городского хозяйства современным газоочистным, пылеулавливающим и водоочистным оборудованием с высоким КПД;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изменение структуры используемых видов моторного топлива за счет увеличения числа автомобилей, работающих на топливе с высокими стандартами качества Евро-4 и выше;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обеспечение соблюдения стандартов качества питьевой воды и очистки производственных, коммунально-бытовых сточных вод и поверхностного стока;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переход автотранспорта города на более чистые виды топлива и совершенствование транспортной системы города за счет оптимального развития общественного транспорта;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совершенствование городской системы развития уличной сети для оздоровления экологической обстановки в городе и зонах, наиболее загруженных транспортными потоками улиц;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строительство объездных автомагистралей с преимущественным движением грузового транспорта и смешанным движением.</w:t>
      </w:r>
    </w:p>
    <w:bookmarkEnd w:id="168"/>
    <w:bookmarkStart w:name="z17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технико-экономические показатели Генерального плана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Современное состояние-01.01.2021 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Первый этап -01.01.2028 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Расчетный срок – 01.01.2036 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населенного пункта в пределах городской, поселковой черты и черты сельского населенного пункта,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и общественной застройки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усадебной с земельным участком при доме (квартире)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блокированной застройки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малоэтажными многоквартирными жилыми домами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среднеэтажными многоквартирными жилыми домами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многоэтажными многоквартирными жилыми домами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застройки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и коммунально-складской застройки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застройки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коммунально-складской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инженерных коммуникаций, из них: внешнего транспорта (железнодорожного, автомобильного, воздушного и трубопроводного)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инженерных сетей и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природы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и акваторий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рек, естественных и искусственных водоемов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водоохранных 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гидротехнических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использования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пахотных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 и виноградников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сенокосов, пастбищ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улиц, дорог, проездов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водоемов, пляжей, набережных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парков, скверов, бульваров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режимные 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хранения и переработки ТБО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развития селитебных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развития промышленно-производственных и коммунальных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1.1.8.3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рекреационных и иных 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с учетом подчиненных населенных пунктов,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тыс./чел.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 города (поселок, сельский населенный пункт)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тыс./чел.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населенные пункты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прирост населения, всего/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тыс./чел.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375,5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естественного среднегодового движения населения: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тыс./чел.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среднегодовой миграции населения (сальдо):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тыс./чел.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селитебной 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чел./га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территории городской, поселковой и сельской застройки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структура населения: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чел./%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385,7/35,9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446,2/30,8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504,2/27,3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 в трудоспособном возрасте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601,56/55,98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902,5/63,6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1231,3/67,6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(мужчины 16-62 года, женщины 16-57 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 старше трудоспособного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87,2/8,12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101,3/7,0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114,5/6,2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семей и одиноких жителей,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семей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одиноких жителей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ресурсы,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 активное население,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чел./%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432,5/40,25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767,5/52,9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1076,3/58,2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Занятые в отраслях экономики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410,3/38,2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728,4/50,0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1022,2/55,3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градообразующей группе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64,6/6,0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217,5/15,0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 /18,3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самостоятельно занятое население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обслуживающей группе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345,7/32,2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510,9/35,2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684,5/37,0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самостоятельно занятое население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22,2/2,07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39,1/2,7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54,1/2,9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 не активное население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169,06/15,73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155,0/10,7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175,0/9,5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в трудоспособном возрасте, обучающиеся с отрывом от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трудоспособное население в трудоспособном возрасте, не занятое экономической деятельностью и учебой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Жилищный фонд,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м² общей площади / % / *ед. домов (квартир)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19844,9/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фонда: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многоквартирных домах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5 994,2/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домах усадебного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13 850,7/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Жилищный фонд с износом более 70 %,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20,3/41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Сохраняемый жилищный фонд,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19844,9/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1 683,98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жилищного фонда по этажности: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малоэтажный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13850,7/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12690,59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застройке: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усадебной (коттеджного типа) с земельным участком при доме (квартире)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13850,7/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12690,59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блокированной с земельным участком при квартире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этажный без земельного участка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среднеэтажный (4-5 этажный) многоквартирный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5994,2/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многоэтажный многоквартирный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Убыль жилищного фонда,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техническому состоянию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реконструкции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причинам (переоборудование помещений)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Убыль жилищного фонда по отношению: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существующему жилому фонду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новому строительству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жилищное строительство, всего в том числе за счет: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домов (квартир) /тыс. м² общей 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нового жилищного строительства по этажности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малоэтажный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усадебной (коттеджного типа) с земельным участком при доме (квартире)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блокированной с земельным участком при квартире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этажный без земельного участка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среднеэтажный (4-5 этажный) многоквартирный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многоэтажный многоквартирный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объема нового жилищного строительства размещается: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свободных территориях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реконструкции существующей застройки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общей площади нового жилищного фонда в среднем за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жилищного фонда: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общего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газовыми плитами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горячей водой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расчетная обеспеченность всего населения города общей площадью квартир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м²/чел.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социального и культурно-бытового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учреждения,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обеспеченности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жителей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учреждения,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обеспеченности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всего/на 1000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социального обеспечения (дома интернаты) –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длительного отдыха (дома отдыха, пансионаты, лагеря для школьников и т.п.), всего/на 1000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РК 3.01-101-2013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заданию на проектирование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Физкультурно-спортивные сооружения -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Зрелищно-культурные учреждения (театры, клубы, кинотеатры, музеи, выставочные залы и т.п.),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торговли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м² торговой 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общественного питания,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бытового обслуживания,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Пожарное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автомобилей/ пож. депо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64/9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122/16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234/32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линий пассажирского общественного транспорта,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электрифицированная железная дорога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двойного пути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трамвай (ЛРТ)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троллейбус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магистральных улиц и дорог,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скоростного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магистралей общегородского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магистралей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улиц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пасс./год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10267 ,6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пасс./год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пасс./год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1746 ,4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пасс./год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пасс./год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м³/год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улично-дорожной сети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городской застройки;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км/км²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границ пригородной зоны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Инженерное оборудование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потребление,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м³/сут.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хозяйственно-питьевые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-“-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-“-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головных сооружений водопровода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источники водоснабжения: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водозаборы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 из поверхностных источников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децентрализованные водоисточники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запасы подземных вод ГКЗ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утверждения, расчетный срок)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Водопотребление в среднем на 1 человека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л/сут.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хозяйственно-питьевые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использование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697,04 (1452,50)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78,68 (1531,18)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поступление сточных вод,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м³/сут.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бытовая канализация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-“-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канализация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-“-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канализационных очистных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154,17 (304,17)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100,37 (404,54)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529,94 (993,08)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118,49 (1111,57)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потребление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кВт ч/год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коммунально-бытовые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-“-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4976,71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-“-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Электропотребление в среднем на 1 человека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коммунально-бытовые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покрытия нагрузок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ТЭЦ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гидроэлектростанций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объединенная энергосеть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399,94 (1935,81)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118,55 (2054,36)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централизованных источников,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ТЭЦ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котельные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групповые котельные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мощность локальных источников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на отопление,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на коммунально-бытовые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горячего водоснабжения,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на коммунально-бытовые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локальных источников теплоснабжения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природного газа,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м³/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на коммунально-бытовые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сжиженного газа,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на коммунально-бытовые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подачи природного газа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м³/год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газа в топливном балансе города, другого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50,46 (508,36)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12,36 (520,72)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телевизионным вещанием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Установленное количество телефонных номеров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подготовка 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 ливневой канализации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территории от затопления: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защитных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Намыв и подсыпка, всего объем и площадь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Берегоукрепление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уровня грунтовых 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специальные мероприятия по инженерной подготовке территории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единицы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Ритуальное обслуживание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кладбищ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крематориев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выбросов вредных веществ в атмосферный воздух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сброса загрязненных 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м 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 нарушенных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 уровнем шума свыше 65 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общей площади земель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неблагополучные в экологическом отношении (территории, загрязненные химическими и биологическими веществами, вредными микроорганизмами свыше предельно допустимых концентраций, радиоактивными веществами, в количествах свыше предельно допустимых уровней)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общей площади земель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Население, проживающее в санитарно-защитных зонах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санитарно-защитных и водоохранных 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почв и недр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бытовых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т/год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Мусороперерабатывающие заводы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ед./тыс.т.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Мусоросжигательные заводы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Мусороперегрузочные станции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Усовершенствованные свалки (полигоны)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ед./га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свалок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стихийных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мероприятия по охране природы и рациональному природопользованию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единицы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Ориентировочный объем инвестиций по I этапу реализации проектных решений,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5336315,9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инфраструктура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3 871 946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инфраструктура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инфраструктура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Показатели рекомендательного характера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 Технико-экономические показатели Генерального плана города, поселка и сельского населенного пункта приводятся на следующие этапы: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исходный год нового Генерального плана;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этап;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расчетный этап.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Показатели по потребности в электроэнергии, тепловой энергии, воде, газе на коммунально-бытовые и производственные нужды и по объему сброса сточных вод принимаются по данным соответствующих областных и районных служб.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Оценка воздействия на окружающую среду в соответствии с требованиями уполномоченного органа в области охраны окружающей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5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________________________________________________________________________________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Генеральному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Шымкента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положения)</w:t>
            </w:r>
          </w:p>
        </w:tc>
      </w:tr>
    </w:tbl>
    <w:bookmarkStart w:name="z19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Генеральный план города Шымкента (основной чертеж)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5"/>
    <w:p>
      <w:pPr>
        <w:spacing w:after="0"/>
        <w:ind w:left="0"/>
        <w:jc w:val="both"/>
      </w:pPr>
      <w:r>
        <w:drawing>
          <wp:inline distT="0" distB="0" distL="0" distR="0">
            <wp:extent cx="78105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