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43a5" w14:textId="5e54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24 декабря 2010 года N 29-1. Зарегистрировано Департаментом юстиции Северо-Казахстанской области 25 января 2011 года N 13-9-128.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Магжана Жумабаева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2 862 947,0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323 174,0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19 597,0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2 515 816,0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2 892 472,4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4 801,1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- 5 334,1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(- 34 326,5)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34 326,5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34 861,5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района Магжана Жумабаева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22.06.2011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04.08.2011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07.10.2011 </w:t>
      </w:r>
      <w:r>
        <w:rPr>
          <w:rFonts w:ascii="Times New Roman"/>
          <w:b w:val="false"/>
          <w:i w:val="false"/>
          <w:color w:val="000000"/>
          <w:sz w:val="28"/>
        </w:rPr>
        <w:t>N 37-1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Обслуживание долга - 2,0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дополнен подпунктом 7) в соответствии с решением маслихата района Магжана Жумабаева Северо-Казахстанской области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21.11.2011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2011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государственной пошлины, поступающей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на 2011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доходы бюджета района на 2011 год включены поступления от продажи основного капитала в сумме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2011 год предусмотрен объем субвенции, передаваемой из областного бюджета в бюджет района в сумме 1961 944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районе на 2011 год предусмотрены поступления трансфертов из республиканского бюджета в сумме 461 388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района Магжана Жумабаева Северо-Казахстанской области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21.11.2011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района предусмотрены поступления трансфертов из областного бюджета на 2011 год в сумме 92 434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района Магжана Жумабаева Северо-Казахстанской области от 21.11.2011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Установить, что в процессе исполнения бюджета района на 2011 год не подлежат секвестру местные бюджетные программы согласно приложению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на 2011 год в сумме 1500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для ликвидации чрезвычайных ситуаций природного и техногенного характера в сумме 1 500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района Магжана Жумабаева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в расходах бюджета района на 2011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 по 1000 тенге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Сохранить повышение на 25 процентов должностных окладов (тарифных ставок) гражданским служащим сферы социального обеспечения, образования, культуры и спорта, работающим в сельской местности по сравнению с окладами и ставками гражданских служащих, занимающимися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 2011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развития бюджета района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перечень целевых текущих трансфертов из республиканского бюджета на 2011 год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перечень бюджетных программ областных трансфертов района на 2011 год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бюджетных программ сельских округов района и города Булаево на 2011 год согласно приложению 8, на 2012 год согласно приложению 9, на 2013 год согласно приложению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видов социальной помощи, предусмотренной по программе «Социальная помощь отдельным категориям нуждающихся граждан по решениям местных представительных органов»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перечень поступлении займов из республиканского бюджета на 2011 год согласно приложению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18 с изменениями, внесенными решением маслихата района Магжана Жумабаева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18-1. Предусмотреть расходы бюджета района за счет свободных остатков бюджетных средств района, сложившихся на начало финансового года и возврата целевых трансфертов республиканского бюджета, неиспользованных в 2010 году, согласно приложению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дополнен пунктом 18-1 в соответствии с решением маслихата района Магжана Жумабаева Северо-Казахстанской области от 28.03.2011 </w:t>
      </w:r>
      <w:r>
        <w:rPr>
          <w:rFonts w:ascii="Times New Roman"/>
          <w:b w:val="false"/>
          <w:i w:val="false"/>
          <w:color w:val="000000"/>
          <w:sz w:val="28"/>
        </w:rPr>
        <w:t>N 30-1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вступает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А.Сапаров                                  В.Гюнтнер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                       М. Омарова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Магжана Жумабаева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6"/>
        <w:gridCol w:w="7365"/>
        <w:gridCol w:w="25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2 862 947,0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323 174,0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154 033,0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154 033,0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135 434,0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64 840,0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16 120,0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793"/>
        <w:gridCol w:w="699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тыс. тенге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2892472,4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264 418,5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14 081,0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50 928,4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180 416,1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179 579,6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16 967,5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848,1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5 050,4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1 858 307,0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1 858 067,0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1 694 348,0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96 006,0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146 974,5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146 974,5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19 633,2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22 027,3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30 762,4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27 372,0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1 071,8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128 706,8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27 410,5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7 000,8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108 000,4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50 397,3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50 397,3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33 965,8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6 303,8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14 008,0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12 154,0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18 515,7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6 304,7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3 622,6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309 840,6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5 382,0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5 273,7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18 542,2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10 542,2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10 542,2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20 725,0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6 259,0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24 372,0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4 801,1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-34 326,5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34 326,5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49 533,0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503"/>
        <w:gridCol w:w="7778"/>
        <w:gridCol w:w="26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2 529 919,0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345 459,0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166 062,0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166 062,0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148 886,0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79 990,0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15 145,0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33 751,0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22 022,0</w:t>
            </w:r>
          </w:p>
        </w:tc>
      </w:tr>
      <w:tr>
        <w:trPr>
          <w:trHeight w:val="2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5 271,0</w:t>
            </w:r>
          </w:p>
        </w:tc>
      </w:tr>
      <w:tr>
        <w:trPr>
          <w:trHeight w:val="78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2 183 188,0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2 183 188,0</w:t>
            </w:r>
          </w:p>
        </w:tc>
      </w:tr>
      <w:tr>
        <w:trPr>
          <w:trHeight w:val="25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2 183 188,0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33"/>
        <w:gridCol w:w="7293"/>
        <w:gridCol w:w="27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4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2529919,0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266 929,0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20 091,0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1 973 527,0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1 973 527,0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1 870 242,0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73 172,0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11 636,0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28 084,0</w:t>
            </w:r>
          </w:p>
        </w:tc>
      </w:tr>
      <w:tr>
        <w:trPr>
          <w:trHeight w:val="9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96 723,0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32 615,0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11 491,0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1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полученные местными исполнительными органами района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"/>
        <w:gridCol w:w="570"/>
        <w:gridCol w:w="7499"/>
        <w:gridCol w:w="283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2 557 616,0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366 024,0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176 313,0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176 313,0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157 823,0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84 792,0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35 776,0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22 887,0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5 664,0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2 190 254,0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2 190 254,0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93"/>
        <w:gridCol w:w="7113"/>
        <w:gridCol w:w="28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2557616,0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185 133,0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19 595,0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1 996 388,0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1 996 388,0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1 892 070,0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115 510,0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11 752,0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12 234,0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28 365,0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44 940,0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32 941,0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16 772,0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2 020,0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23 087,0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5 828,0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полученные местными исполнительными органами района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633"/>
        <w:gridCol w:w="207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 направленные на</w:t>
      </w:r>
      <w:r>
        <w:br/>
      </w:r>
      <w:r>
        <w:rPr>
          <w:rFonts w:ascii="Times New Roman"/>
          <w:b/>
          <w:i w:val="false"/>
          <w:color w:val="000000"/>
        </w:rPr>
        <w:t>
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района Магжана Жумабаева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53"/>
        <w:gridCol w:w="7353"/>
        <w:gridCol w:w="19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375 962,6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274 780,1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района Магжана Жумабаева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293"/>
        <w:gridCol w:w="20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82 224,0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12 919,0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областных трансфертов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района Магжана Жумабаева Северо-Казахстанской области от 04.08.2011 </w:t>
      </w:r>
      <w:r>
        <w:rPr>
          <w:rFonts w:ascii="Times New Roman"/>
          <w:b w:val="false"/>
          <w:i w:val="false"/>
          <w:color w:val="ff0000"/>
          <w:sz w:val="28"/>
        </w:rPr>
        <w:t>N 34-1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673"/>
        <w:gridCol w:w="7573"/>
        <w:gridCol w:w="185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16 516,0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района Магжана Жумабаева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13"/>
        <w:gridCol w:w="713"/>
        <w:gridCol w:w="7833"/>
        <w:gridCol w:w="17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266463,9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179579,6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15164,5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93"/>
        <w:gridCol w:w="1313"/>
        <w:gridCol w:w="1533"/>
        <w:gridCol w:w="1313"/>
        <w:gridCol w:w="1273"/>
        <w:gridCol w:w="1313"/>
        <w:gridCol w:w="1333"/>
        <w:gridCol w:w="1293"/>
      </w:tblGrid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24255,9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6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2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0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18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93"/>
        <w:gridCol w:w="1513"/>
        <w:gridCol w:w="1293"/>
        <w:gridCol w:w="1553"/>
        <w:gridCol w:w="1513"/>
        <w:gridCol w:w="1333"/>
        <w:gridCol w:w="165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11742,8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7578,2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7578,2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7071,1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7401,2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1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373"/>
        <w:gridCol w:w="1293"/>
        <w:gridCol w:w="1413"/>
        <w:gridCol w:w="1613"/>
        <w:gridCol w:w="1293"/>
        <w:gridCol w:w="169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9408,9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12769,8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12769,8</w:t>
            </w:r>
          </w:p>
        </w:tc>
      </w:tr>
      <w:tr>
        <w:trPr>
          <w:trHeight w:val="6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12495,8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23698,5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23698,5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13544,5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5266,0</w:t>
            </w:r>
          </w:p>
        </w:tc>
      </w:tr>
      <w:tr>
        <w:trPr>
          <w:trHeight w:val="1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1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753"/>
        <w:gridCol w:w="8213"/>
        <w:gridCol w:w="18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251506,0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  услуги  общего 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 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44496,0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453"/>
        <w:gridCol w:w="1673"/>
        <w:gridCol w:w="1693"/>
        <w:gridCol w:w="1273"/>
        <w:gridCol w:w="1393"/>
        <w:gridCol w:w="1513"/>
        <w:gridCol w:w="191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8807,0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2290,0</w:t>
            </w:r>
          </w:p>
        </w:tc>
      </w:tr>
      <w:tr>
        <w:trPr>
          <w:trHeight w:val="1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53"/>
        <w:gridCol w:w="1653"/>
        <w:gridCol w:w="1513"/>
        <w:gridCol w:w="1253"/>
        <w:gridCol w:w="1293"/>
        <w:gridCol w:w="1633"/>
        <w:gridCol w:w="1653"/>
      </w:tblGrid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8617,0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1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21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293"/>
        <w:gridCol w:w="1273"/>
        <w:gridCol w:w="1453"/>
        <w:gridCol w:w="1273"/>
        <w:gridCol w:w="1253"/>
        <w:gridCol w:w="1493"/>
        <w:gridCol w:w="1293"/>
        <w:gridCol w:w="1453"/>
      </w:tblGrid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38085,0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12705,0</w:t>
            </w:r>
          </w:p>
        </w:tc>
      </w:tr>
      <w:tr>
        <w:trPr>
          <w:trHeight w:val="1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16610,0</w:t>
            </w:r>
          </w:p>
        </w:tc>
      </w:tr>
      <w:tr>
        <w:trPr>
          <w:trHeight w:val="39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16610,0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9660,0</w:t>
            </w:r>
          </w:p>
        </w:tc>
      </w:tr>
      <w:tr>
        <w:trPr>
          <w:trHeight w:val="1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1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7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8153"/>
        <w:gridCol w:w="17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255847,0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185133,0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453"/>
        <w:gridCol w:w="1313"/>
        <w:gridCol w:w="1453"/>
        <w:gridCol w:w="1253"/>
        <w:gridCol w:w="1693"/>
        <w:gridCol w:w="1593"/>
        <w:gridCol w:w="195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</w:p>
        </w:tc>
      </w:tr>
      <w:tr>
        <w:trPr>
          <w:trHeight w:val="5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</w:p>
        </w:tc>
      </w:tr>
      <w:tr>
        <w:trPr>
          <w:trHeight w:val="25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</w:p>
        </w:tc>
      </w:tr>
      <w:tr>
        <w:trPr>
          <w:trHeight w:val="27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453"/>
        <w:gridCol w:w="1293"/>
        <w:gridCol w:w="1473"/>
        <w:gridCol w:w="1293"/>
        <w:gridCol w:w="1753"/>
        <w:gridCol w:w="1753"/>
        <w:gridCol w:w="147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8696,0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40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7329,0</w:t>
            </w:r>
          </w:p>
        </w:tc>
      </w:tr>
      <w:tr>
        <w:trPr>
          <w:trHeight w:val="1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253"/>
        <w:gridCol w:w="1253"/>
        <w:gridCol w:w="1293"/>
        <w:gridCol w:w="1253"/>
        <w:gridCol w:w="1253"/>
        <w:gridCol w:w="1473"/>
        <w:gridCol w:w="1313"/>
        <w:gridCol w:w="157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39288,0</w:t>
            </w:r>
          </w:p>
        </w:tc>
      </w:tr>
      <w:tr>
        <w:trPr>
          <w:trHeight w:val="34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12940,0</w:t>
            </w:r>
          </w:p>
        </w:tc>
      </w:tr>
      <w:tr>
        <w:trPr>
          <w:trHeight w:val="3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12940,0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12940,0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</w:p>
        </w:tc>
      </w:tr>
      <w:tr>
        <w:trPr>
          <w:trHeight w:val="2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9750,0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3360,0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</w:p>
        </w:tc>
      </w:tr>
      <w:tr>
        <w:trPr>
          <w:trHeight w:val="5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</w:p>
        </w:tc>
      </w:tr>
      <w:tr>
        <w:trPr>
          <w:trHeight w:val="25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1668,0</w:t>
            </w:r>
          </w:p>
        </w:tc>
      </w:tr>
      <w:tr>
        <w:trPr>
          <w:trHeight w:val="27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  <w:tr>
        <w:trPr>
          <w:trHeight w:val="43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7880,0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предусмотренных по программе</w:t>
      </w:r>
      <w:r>
        <w:br/>
      </w:r>
      <w:r>
        <w:rPr>
          <w:rFonts w:ascii="Times New Roman"/>
          <w:b/>
          <w:i w:val="false"/>
          <w:color w:val="000000"/>
        </w:rPr>
        <w:t>
«Социальная помощь 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Компенсации за услуги бань и парикмахерских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Санаторно-курортное лечение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Зубопротезирование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дополнительного питания граждан, больных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единовременной социальной выплаты гражданам, пострадавшим от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Единовременное пособие врачам и среднему медицинскому персоналу, прибывшим на постоянное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Выплата коммунальных услуг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Выплата пособий на рождение четвертого и более ребенка.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поступлений займов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в редакции решения маслихата района Магжана Жумабаева Северо-Казахстанской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38-1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373"/>
        <w:gridCol w:w="193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 бюджетных средств района, сложившихся на начало финансового года и возврата целевых трансфертов бюджета, неиспользованных в 2010 году целевых трансфертов республиканского бюджета, неиспользованных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Сноска. Приложение 13 в редакции решения маслихата района Магжана Жумабаева Северо-Казахстанской области от 28.03.2011 </w:t>
      </w:r>
      <w:r>
        <w:rPr>
          <w:rFonts w:ascii="Times New Roman"/>
          <w:b w:val="false"/>
          <w:i w:val="false"/>
          <w:color w:val="ff0000"/>
          <w:sz w:val="28"/>
        </w:rPr>
        <w:t>N 30-1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593"/>
        <w:gridCol w:w="6693"/>
        <w:gridCol w:w="23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Сельское,водное,лесное,рыбное хозяйство, особо охраняемые территории, охрана окружающей среды и животного 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5 934,1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