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7913" w14:textId="ea67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минимальном размере уставного капитала заявителя (лицензиата)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2012 года № 168. Зарегистрировано в Министерстве юстиции Республики Казахстан 12 июня 2012 года № 7733.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(далее - Закон)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минимальный размер уставного капитала для заявителя на: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деятельности по управлению инвестиционным портфелем с правом привлечения добровольных пенсионных взносов (добровольный накопительный пенсионный фонд) в размере 800 000 - 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брокерской и (или) дилерской деятельности с правом ведения счетов клиентов в качестве номинального держателя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(далее – Закон об АО);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брокерской и (или) дилерской деятельности без права ведения счетов клиентов в организационно-правовой форме: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акционерного общества -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 об АО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товарищества с ограниченной ответственностью -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товариществах с ограниченной и дополнительной ответственностью" (далее – Закон о ТОО);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деятельности по управлению инвестиционным портфелем без права привлечения добровольных пенсионных взносов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 об АО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совмещение брокерской и (или) дилерской деятельности с деятельностью по управлению инвестиционным портфелем без права привлечения добровольных пенсионных взносов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 об АО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деятельности по организации торговли с ценными бумагами и иными финансовыми инструментами в размере 500 000 - 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клиринговой деятельности по сделкам с финансовыми инструментами в размере 500 000 - 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трансфер-агентской деятельности профессиональным участником рынка ценных бумаг, созданным в организационно-правовой форме: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акционерного общества -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 об АО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товарищества с ограниченной ответственностью - в размере, не превышающем требования к уставному капиталу,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Законе о ТОО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совмещение деятельности по управлению инвестиционным портфелем с правом привлечения добровольных пенсионных взносов с брокерской и (или) дилерской деятельностью в размере 800 000 - 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Правления Агентства РК по регулированию и развитию финансового рынка от 28.12.2020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Правления Агентства РК по регулированию и развитию финансового рынка от 28.12.2020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197 "О минимальном размере уставного капитала заявителя на получение лицензии для осуществления деятельности на рынке ценных бумаг и юридического лица, осуществляющего деятельность на рынке ценных бумаг на основании лицензии" (зарегистрированное в Реестре государственной регистрации нормативных правовых актов под № 5461).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