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c433d5" w14:textId="dc433d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критериев оценки степени рисков в сфере частного предпринимательства в области санитарно-эпидемиологического благополучия населения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Министра здравоохранения Республики Казахстан от 3 сентября 2012 года № 602 и Министра экономического развития и торговли Республики Казахстан от 21 сентября 2012 года № 272. Зарегистрирован в Министерстве юстиции Республики Казахстан 3 октября 2012 года № 7971. Утратил силу совместным приказом и.о. Министра здравоохранения Республики Казахстан от 28 ноября 2013 года № 684 и Министра регионального развития Республики Казахстан от 22 января 2014 года № 10/НҚ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</w:t>
      </w:r>
      <w:r>
        <w:rPr>
          <w:rFonts w:ascii="Times New Roman"/>
          <w:b w:val="false"/>
          <w:i w:val="false"/>
          <w:color w:val="ff0000"/>
          <w:sz w:val="28"/>
        </w:rPr>
        <w:t>совместным приказом</w:t>
      </w:r>
      <w:r>
        <w:rPr>
          <w:rFonts w:ascii="Times New Roman"/>
          <w:b w:val="false"/>
          <w:i w:val="false"/>
          <w:color w:val="ff0000"/>
          <w:sz w:val="28"/>
        </w:rPr>
        <w:t xml:space="preserve"> и.о. Министра здравоохранения РК от 28.11.2013 № 684 и Министра регионального развития РК от 22.01.2014 № 10/НҚ.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72)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7 Кодекса Республики Казахстан от 18 сентября 2009 года «О здоровье народа и системе здравоохранения», </w:t>
      </w:r>
      <w:r>
        <w:rPr>
          <w:rFonts w:ascii="Times New Roman"/>
          <w:b w:val="false"/>
          <w:i w:val="false"/>
          <w:color w:val="000000"/>
          <w:sz w:val="28"/>
        </w:rPr>
        <w:t>пунктами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 Закона Республики Казахстан от 6 января 2011 года «О государственном контроле и надзоре в Республике Казахстан», </w:t>
      </w:r>
      <w:r>
        <w:rPr>
          <w:rFonts w:ascii="Times New Roman"/>
          <w:b/>
          <w:i w:val="false"/>
          <w:color w:val="000000"/>
          <w:sz w:val="28"/>
        </w:rPr>
        <w:t>ПРИКАЗЫВАЕМ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критерии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степени рисков в сфере частного предпринимательства в области санитарно-эпидемиологического благополучия населения.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государственного санитарно-эпидемиологического надзора Министерства здравоохранения Республики Казахстан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официальное опубликование настоящего приказа в течение десяти календарных дней после его государственной регистрации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опубликование настоящего приказа на официальном интернет-ресурсе Министерства здравоохранения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Признать утратившим силу совместный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31 января 2011 года № 59 и Министра экономического развития и торговли Республики Казахстан от 25 февраля 2011 года № 45 «Об утверждении критериев оценки степени рисков в сфере частного предпринимательства в области санитарно-эпидемиологического благополучия населения» (зарегистрированный в Реестре государственной регистрации нормативных правовых актов № 6841, опубликованный в газете «Казахстанская правда» 15 марта 2011 года № 188 (26609).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совместного приказа возложить на вице-министра здравоохранения Республики Казахстан Байжунусова Э.А.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Настоящий совместный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 </w:t>
      </w:r>
      <w:r>
        <w:rPr>
          <w:rFonts w:ascii="Times New Roman"/>
          <w:b w:val="false"/>
          <w:i/>
          <w:color w:val="000000"/>
          <w:sz w:val="28"/>
        </w:rPr>
        <w:t>Министр                          Министр экономического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 здравоохранения                        развития и торговли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Республики Казахстан              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_________ С. Каирбекова                _________ Б. Сагинтаев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 совместным приказом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здравоохранения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 сентября 2012 года № 602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Министра экономического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развития и торговли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сентября 2012 года № 272</w:t>
      </w:r>
    </w:p>
    <w:bookmarkEnd w:id="1"/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Критерии оценки степени рисков в сфере частного</w:t>
      </w:r>
      <w:r>
        <w:br/>
      </w:r>
      <w:r>
        <w:rPr>
          <w:rFonts w:ascii="Times New Roman"/>
          <w:b/>
          <w:i w:val="false"/>
          <w:color w:val="000000"/>
        </w:rPr>
        <w:t>
предпринимательства в области санитарно-эпидемиологического</w:t>
      </w:r>
      <w:r>
        <w:br/>
      </w:r>
      <w:r>
        <w:rPr>
          <w:rFonts w:ascii="Times New Roman"/>
          <w:b/>
          <w:i w:val="false"/>
          <w:color w:val="000000"/>
        </w:rPr>
        <w:t>
благополучия населения</w:t>
      </w:r>
    </w:p>
    <w:bookmarkEnd w:id="2"/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Критерии оценки степени рисков в сфере частного предпринимательства в области санитарно-эпидемиологического благополучия населения (далее - Критерии) разработаны для отнесения объектов государственного санитарно-эпидемиологического надзора, являющихся субъектами частного предпринимательства (далее - объект) к группам высокого, среднего, незначительного риска и определения периодичности проведения плановых проверок объектов.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Критериях использованы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риск - вероятность причинения вреда в результате деятельности проверяемого объекта жизни или здоровью человека, окружающей среде, с учетом степени тяжести его последствий;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группа риска - группа объектов, имеющих общую степень риска, определяемую согласно критериям.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Система управления рисками при осуществлении государственного санитарно-эпидемиологического надзора основывается 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требованиях нормативных правовых актов в сфере санитарно-эпидемиологического благополучия населения;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результатах лабораторно-инструментальных исследований;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эпидемической значимости объектов;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данных санитарно-эпидемиологического мониторинга.</w:t>
      </w:r>
    </w:p>
    <w:bookmarkEnd w:id="4"/>
    <w:bookmarkStart w:name="z1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Критерии определения рисков и отнесения к группам рисков объектов</w:t>
      </w:r>
    </w:p>
    <w:bookmarkEnd w:id="5"/>
    <w:bookmarkStart w:name="z2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Распределение объектов по группам риска проводится для определения периодичности плановых проверок.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Объекты, подлежащие плановому государственному санитарно-эпидемиологическому надзору, исходя из их степени риска, распределены по группам в соответствии с приложением 1 к настоящим Критериям.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группу высокой степени риска отнесены объекты с периодичностью проверок 1 раз в квартал.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группу средней степени риска отнесены объекты с периодичностью проверок 1 раз в полугодие.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группу незначительной степени риска отнесены объекты с периодичностью проверок 1 раз в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Периодичность проверок вновь принятого в эксплуатацию объекта определяется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Критериям. Периодичность проверок вновь принятого в эксплуатацию объекта малого бизнеса определяется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 государственном контроле и надзоре в Республике Казахстан».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Если объект был принят в эксплуатацию после утверждения плана проверок объектов, он вносится в план проверок на следующее полугодие с периодичностью проверок,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Критериям.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По результатам анализа нарушений, проводится распределение объектов по группам риска на следующий год, в том числе планируемый период (полугодие), на основании: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оценки критериев, в соответствии с требованиями,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Критериям;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расчетов баллов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Критериям.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Расчет баллов по определению группы степени риска объектов проводится специалистами государственного органа санитарно-эпидемиологического надзора и утверждается руководителем данного органа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Критериям.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При проведении анализа проверок учитываются нарушения, выявленные при проведении плановых и внеплановых проверок за истекший календарный год (полугодие).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Если в ходе проверок в течение календарного года (полугодия) на объекте были выявлены либо не были выявлены нарушения, то при формировании плана проверок на предстоящее полугодие объекты, в зависимости от количества набранных баллов переводятся из группы в группу независимо от последовательности групп, либо остаются в соответствующей группе.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Проверяемые объекты при наборе: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от 0 до 100 баллов (включительно) относятся к 3 группе риска;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от 101 до 120 баллов (включительно) относятся к 2 группе;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от 121 и более баллов (включительно) относятся к 1 группе.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Если в истекшем календарном году (полугодии) объект не проверялся, он остается в той группе, в которую он определен по результатам предыдущего календарного года (полугодия).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Определение группы риска объектов, относящихся к одному субъекту (юридическому лицу) проводится для каждого объекта отдельно.</w:t>
      </w:r>
    </w:p>
    <w:bookmarkEnd w:id="6"/>
    <w:bookmarkStart w:name="z3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Критериям оценки степени рисков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сфере частного предпринимательства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области санитарно-эпидемиологического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благополучия населения           </w:t>
      </w:r>
    </w:p>
    <w:bookmarkEnd w:id="7"/>
    <w:bookmarkStart w:name="z3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Распределение объектов контроля по группам в зависимости</w:t>
      </w:r>
      <w:r>
        <w:br/>
      </w:r>
      <w:r>
        <w:rPr>
          <w:rFonts w:ascii="Times New Roman"/>
          <w:b/>
          <w:i w:val="false"/>
          <w:color w:val="000000"/>
        </w:rPr>
        <w:t>
от степени рисков, базовая периодичность проверок</w:t>
      </w:r>
      <w:r>
        <w:br/>
      </w:r>
      <w:r>
        <w:rPr>
          <w:rFonts w:ascii="Times New Roman"/>
          <w:b/>
          <w:i w:val="false"/>
          <w:color w:val="000000"/>
        </w:rPr>
        <w:t>
и лабораторно-инструментальных исследований</w:t>
      </w:r>
    </w:p>
    <w:bookmarkEnd w:id="8"/>
    <w:bookmarkStart w:name="z4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 группа – объекты высокой степени риска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0"/>
        <w:gridCol w:w="3696"/>
        <w:gridCol w:w="1567"/>
        <w:gridCol w:w="1658"/>
        <w:gridCol w:w="1979"/>
        <w:gridCol w:w="1851"/>
        <w:gridCol w:w="1467"/>
        <w:gridCol w:w="1382"/>
      </w:tblGrid>
      <w:tr>
        <w:trPr>
          <w:trHeight w:val="30" w:hRule="atLeast"/>
        </w:trPr>
        <w:tc>
          <w:tcPr>
            <w:tcW w:w="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6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объектов</w:t>
            </w:r>
          </w:p>
        </w:tc>
        <w:tc>
          <w:tcPr>
            <w:tcW w:w="15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дичность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проверок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Периодичность лабораторно-инструментальных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исследований в год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Бактерио-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Паразито-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физи-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факторами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Детские молочные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кухни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периодич-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проверок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 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квартал,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 перио-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дичности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проверок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вводе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эксплуа-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тацию,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дичности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проверок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вводе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атацию,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 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год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вводе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атацию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оздоровительные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санаторные объекты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(круглогодичные,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сезонные)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периодич-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проверок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 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квартал,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 перио-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дичности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проверок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вводе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эксплуа-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тацию,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дичности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проверок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вводе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атацию,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 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год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вводе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атацию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Дома ребенка,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детей-сирот и детей,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оставшихся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попечения родителей,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центры адаптации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несовершеннолетних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периодич-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проверок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 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квартал,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 перио-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дичности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проверок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вводе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эксплуа-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тацию,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дичности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проверок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вводе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атацию,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 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год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вводе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атацию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Объекты общественного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питания и торговли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начального,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среднего 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среднего образования,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пансионатах, медресе,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приютах, вахтовых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поселках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периодич-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проверок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 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квартал,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 перио-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дичности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проверок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вводе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эксплуа-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тацию,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дичности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проверок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вводе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атацию,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 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год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вводе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атацию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кондитерских изделий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крема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периодич-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проверок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 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квартал,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 перио-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дичности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проверок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вводе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эксплуа-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тацию,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дичности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проверок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вводе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атацию,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 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год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вводе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атацию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оказывающие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стационарную помощь,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онкологических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(диспансеров),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наркологических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больниц (диспансеров,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медико-социальной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реабилитации),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психиатрических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(диспансеров);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службы крови;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оказывающие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амбулаторно-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поликлиническую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периодич-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проверок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 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квартал,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 перио-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дичности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проверок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вводе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эксплуа-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тацию,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дичности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проверок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вводе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атацию,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 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год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вводе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год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Объекты общественного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питания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транспорте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(железнодорожном,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морском, внутреннем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водном).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Объекты бортового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питания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периодич-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проверок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 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квартал,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 перио-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дичности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проверок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вводе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эксплуа-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тацию,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дичности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проверок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вводе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атацию,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 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год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вводе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атацию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(железнодорожные,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морские, внутренние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водные, воздушные)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перевозки пассажиров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периодич-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проверок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 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квартал,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 перио-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дичности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проверок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вводе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эксплуа-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тацию,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дичности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проверок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вводе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атацию,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 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год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вводе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атацию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Интернатные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(для детей)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периодич-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проверок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 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квартал,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 перио-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дичности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проверок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вводе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эксплуа-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тацию,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дичности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проверок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вводе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атацию,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 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год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вводе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атацию</w:t>
            </w:r>
          </w:p>
        </w:tc>
      </w:tr>
    </w:tbl>
    <w:bookmarkStart w:name="z4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 группа – объекты средней степени риска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6"/>
        <w:gridCol w:w="3707"/>
        <w:gridCol w:w="1499"/>
        <w:gridCol w:w="1696"/>
        <w:gridCol w:w="1909"/>
        <w:gridCol w:w="1887"/>
        <w:gridCol w:w="1526"/>
        <w:gridCol w:w="1250"/>
      </w:tblGrid>
      <w:tr>
        <w:trPr>
          <w:trHeight w:val="30" w:hRule="atLeast"/>
        </w:trPr>
        <w:tc>
          <w:tcPr>
            <w:tcW w:w="5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7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объектов</w:t>
            </w:r>
          </w:p>
        </w:tc>
        <w:tc>
          <w:tcPr>
            <w:tcW w:w="14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дичность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проверок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Кратность лабораторно-инструментальных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исследований в год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Бактерио-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Паразито-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физи-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факторами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троль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начального, основного среднего и общего среднего образования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полгода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полгода,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дичности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проверок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 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полгода,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периодич-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проверок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вводе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эксплуа-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тацию,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 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год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вводе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тацию,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 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год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экс-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плуа-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тацию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Дома юношества,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пансионаты, медресе,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приюты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полгода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полгода,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дичности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проверок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 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полгода,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периодич-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проверок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вводе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эксплуа-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тацию,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 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год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вводе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тацию,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 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год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экс-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плуа-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тацию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одаренных детей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полгода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полгода,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дичности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проверок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 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полгода,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периодич-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проверок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вводе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эксплуа-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тацию,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 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год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вводе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тацию,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 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год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экс-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плуа-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тацию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Объекты общественного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питания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переработкой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реализацией пищевой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полгода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полгода,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дичности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проверок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 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полгода,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периодич-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проверок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вводе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эксплуа-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тацию,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периодич-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проверок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вводе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тацию,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 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год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экс-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плуа-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тацию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приготовления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скоропортящихся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пищевых продуктов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полгода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полгода,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дичности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проверок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вводе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эксплуа-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тацию,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периодич-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проверок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вводе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тацию,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 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год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экс-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плуа-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тацию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Молокоперерабатываю-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щие объекты, объекты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производству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готовой молочной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полгода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полгода,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дичности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проверок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 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полгода,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периодич-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проверок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вводе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эксплуа-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тацию,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периодич-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проверок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вводе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тацию,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 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год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экс-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плуа-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тацию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Мясоперерабатывающие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объекты, объекты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производству мясных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полуфабрикатов и/или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готовой мясной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полгода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полгода,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дичности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проверок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 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полгода,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периодич-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проверок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вводе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эксплуа-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тацию,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периодич-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проверок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вводе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тацию,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 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год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экс-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плуа-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тацию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Рыбооперерабатывающие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объекты, объекты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производству рыбных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полуфабрикатов и/или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готовой рыбной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полгода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полгода,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дичности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проверок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 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полгода,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периодич-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проверок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вводе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эксплуа-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тацию,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периодич-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проверок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вводе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тацию,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 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год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экс-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плуа-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тацию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Птицеперерабатывающие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объекты, объекты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полуфабрикатов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мяса птицы и/или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готовой продукции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мяса птицы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полгода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полгода,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дичности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проверок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 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полгода,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периодич-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проверок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вводе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эксплуа-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тацию,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периодич-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проверок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вводе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тацию,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 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год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экс-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плуа-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тацию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Рынки с оптовой,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розничной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мелкорозничной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торговлей пищевой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продукцией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полгода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полгода,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дичности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проверок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 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полгода,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периодич-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проверок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вводе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эксплуа-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тацию,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периодич-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проверок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вводе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тацию,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 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год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экс-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плуа-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тацию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алкогольной продукции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том числе вина,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пива), безалкогольной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 (в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 кваса,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тонизирующих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напитков) и питьевой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воды (в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минеральной),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расфасованной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емкости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полгода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полгода,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дичности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проверок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 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полгода,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периодич-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проверок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вводе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эксплуа-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тацию,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периодич-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проверок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вводе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тацию,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 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год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экс-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плуа-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тацию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масложировой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полгода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полгода,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дичности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проверок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 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полгода,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периодич-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проверок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вводе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эксплуа-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тацию,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периодич-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проверок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вводе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тацию,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 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год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экс-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плуа-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тацию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производству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пищевых продуктов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иных групп пищевой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полгода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полгода,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дичности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проверок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 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полгода,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периодич-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проверок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вводе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эксплуа-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тацию,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периодич-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проверок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вводе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тацию,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 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год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экс-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плуа-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тацию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Объекты по выпечке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хлеба и хлебобулочных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изделий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полгода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полгода,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дичности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проверок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 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полгода,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периодич-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проверок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вводе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эксплуа-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тацию,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периодич-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проверок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вводе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тацию,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 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год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вводе в эксплуатацию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производству чипсов,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сухариков, кукурузных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палочек, казинаков,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семечек, сухих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завтраков, слайсов,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сахарной ваты,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поп-корна, жареных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орехов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полгода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полгода,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дичности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проверок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 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полгода,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периодич-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проверок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вводе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эксплуа-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тацию,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периодич-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проверок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вводе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тацию,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 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год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экс-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плуа-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тацию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кондитерских изделий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полгода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полгода,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дичности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проверок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 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полгода,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периодич-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проверок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вводе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эксплуа-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тацию,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периодич-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проверок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вводе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тацию,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 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год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экс-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плуа-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тацию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Склады для 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пищевой продукции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полгода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полгода,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дичности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проверок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 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полгода,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периодич-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проверок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вводе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эксплуа-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тацию,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периодич-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проверок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вводе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тацию,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 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год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экс-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плуа-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тацию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оказывающие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стационарную помощь: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онкологические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(диспансеры),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наркологические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больницы (диспансеры,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медико-социальной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реабилитации),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психиатрические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больницы (диспансеры)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полгода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полгода,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дичности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проверок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 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полгода,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периодич-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проверок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вводе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эксплуа-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тацию,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периодич-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проверок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вводе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тацию,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 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год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экс-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плуа-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тацию, 1 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год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профилактики ВИЧ/СПИД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полгода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полгода,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дичности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проверок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вводе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эксплуа-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тацию,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периодич-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проверок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вводе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тацию,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 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год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экс-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плуа-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тацию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Водоисточники, места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водозабора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хозяйственно-питьевого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водоснабжения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полгода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полгода,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дичности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проверок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 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полгода,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периодич-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проверок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 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полгода,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периодич-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проверок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год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3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нецентрализованные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хозяйственно-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питьевого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водоснабжения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полгода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полгода,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дичности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проверок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 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полгода,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периодич-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проверок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 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полгода,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периодич-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проверок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экс-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плуа-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тацию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3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Дома-интернаты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(для взрослых).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Дома для инвалидов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престарелых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полгода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полгода,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дичности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проверок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 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полгода,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периодич-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проверок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вводе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эксплуа-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тацию,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периодич-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проверок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вводе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тацию,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 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год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экс-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плуа-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тацию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3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(железнодорожные,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морские, внутренние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водные, воздушные,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перевозки пищевых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продовольственного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сырья,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хозяйственно-питьевой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воды, радиоактивных,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опасных, химических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токсических веществ)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полгода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полгода,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дичности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проверок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 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полгода,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периодич-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проверок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вводе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эксплуа-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тацию,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периодич-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проверок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вводе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тацию,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 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год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экс-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плуа-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тацию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3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Строящиеся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реконструируемые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объекты промышленного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гражданского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назначения, объекты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капитального ремонта,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строительные площадки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полгода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вводе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тацию,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 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год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экс-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плуа-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тацию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детские ясли и сады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всех типов, центры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воспитания с полным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кратковременным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пребыванием детей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полгода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полгода,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дичности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проверок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 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полгода,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периодич-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проверок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вводе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эксплуа-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тацию,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периодич-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проверок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вводе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тацию,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 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год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экс-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плуа-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тацию</w:t>
            </w:r>
          </w:p>
        </w:tc>
      </w:tr>
    </w:tbl>
    <w:bookmarkStart w:name="z42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 группа – объекты незначительной степени риска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2"/>
        <w:gridCol w:w="3250"/>
        <w:gridCol w:w="1494"/>
        <w:gridCol w:w="1795"/>
        <w:gridCol w:w="2093"/>
        <w:gridCol w:w="2220"/>
        <w:gridCol w:w="1690"/>
        <w:gridCol w:w="1436"/>
      </w:tblGrid>
      <w:tr>
        <w:trPr>
          <w:trHeight w:val="30" w:hRule="atLeast"/>
        </w:trPr>
        <w:tc>
          <w:tcPr>
            <w:tcW w:w="5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2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объектов</w:t>
            </w:r>
          </w:p>
        </w:tc>
        <w:tc>
          <w:tcPr>
            <w:tcW w:w="14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дичность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проверок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Кратность лабораторно-инструментальных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исследований в год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Бактерио-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Паразито-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физи-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факторами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обучения, после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среднего и высшего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 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год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 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установ-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периодич-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проверок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 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установлен-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 перио-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дичности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проверок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вводе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 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год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вводе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экс-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плуа-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тацию,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 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год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вводе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тацию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 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год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 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установ-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периодич-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проверок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 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установлен-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 перио-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дичности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проверок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вводе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 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год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вводе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экс-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плуа-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тацию,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 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год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вводе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тацию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детей и подростков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(обувь, одежда,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игрушки)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 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год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 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установ-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периодич-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проверок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 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установлен-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 перио-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дичности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проверок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вводе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 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год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вводе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экс-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плуа-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тацию,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 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год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вводе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тацию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Компьютерные клубы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 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год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вводе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экс-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плуа-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тацию,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 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год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вводе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тацию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полуфабрикатов,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макаронных изделий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 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год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 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установ-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периодич-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проверок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 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установлен-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 перио-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дичности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проверок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вводе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эксплуа-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тацию,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периодичности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проверок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вводе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экс-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плуа-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тацию,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 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год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вводе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тацию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поваренной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йодированной соли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 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год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 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установ-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периодич-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проверок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 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установлен-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 перио-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дичности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проверок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вводе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эксплуа-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тацию,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периодичности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проверок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вводе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экс-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плуа-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тацию,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 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год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вводе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тацию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Плодоперерабатыва-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ющие объекты,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переработке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 продукции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происхождения,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том числе соевой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мукомольные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объекты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 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год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 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установ-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периодич-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проверок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 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установлен-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 перио-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дичности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проверок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вводе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эксплуа-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тацию,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периодичности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проверок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вводе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экс-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плуа-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тацию,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 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год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вводе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тацию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пищевых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концентратов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пищевых кислот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 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год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 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установ-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периодич-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проверок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 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установлен-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 перио-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дичности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проверок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вводе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эксплуа-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тацию,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периодичности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проверок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вводе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экс-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плуа-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тацию,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 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год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вводе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тацию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крахмалопаточной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крахмала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 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год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 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установ-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периодич-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проверок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 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установлен-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 перио-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дичности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проверок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вводе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эксплуа-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тацию,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периодичности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проверок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вводе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экс-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плуа-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тацию,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 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год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вводе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тацию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сахара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 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год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 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установ-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периодич-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проверок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 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установлен-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 перио-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дичности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проверок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вводе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эксплуа-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тацию,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периодичности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проверок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вводе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экс-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плуа-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тацию,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 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год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вводе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тацию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Объекты с оптовой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розничной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мелкорозничной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торговлей пищевой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продукцией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 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год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 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установ-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периодич-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проверок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 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установлен-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 перио-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дичности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проверок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вводе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эксплуа-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тацию,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периодичности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проверок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вводе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экс-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плуа-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тацию,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 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год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вводе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тацию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сфере судебной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патологической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анатомии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 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год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 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установ-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периодич-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проверок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вводе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эксплуа-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тацию,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периодичности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проверок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вводе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экс-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плуа-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тацию,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 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год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вводе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тацию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лекарственных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препаратов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 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год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 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установ-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периодич-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проверок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вводе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эксплуа-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тацию,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периодичности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проверок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вводе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экс-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плуа-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тацию,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 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год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вводе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тацию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восстановительного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лечения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реабилитации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 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год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 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установ-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периодич-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проверок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вводе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эксплуа-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тацию,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периодичности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проверок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вводе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экс-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плуа-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тацию,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 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год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вводе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тацию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Парикмахерские,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косметологические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центры, салоны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 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год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 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установ-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периодич-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проверок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 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установлен-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 перио-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дичности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проверок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вводе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эксплуа-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тацию,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периодичности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проверок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вводе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экс-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плуа-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тацию,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 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год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вводе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тацию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Бани, сауны,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плавательные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бассейны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 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год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 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установ-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периодич-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проверок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 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установлен-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 перио-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дичности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проверок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вводе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эксплуа-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тацию,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периодичности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проверок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вводе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экс-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плуа-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тацию,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 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год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вводе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тацию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Спортивно-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оздоровительные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 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год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 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установ-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периодич-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проверок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 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установлен-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 перио-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дичности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проверок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вводе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эксплуа-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тацию,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периодичности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проверок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вводе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экс-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плуа-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тацию,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 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год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вводе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тацию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парфюмерно-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косметической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 гигиены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 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год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 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установ-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периодич-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проверок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вводе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эксплуа-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тацию,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периодичности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проверок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вводе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экс-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плуа-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тацию,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 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год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вводе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тацию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эксплуатации жилых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общественных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зданий, офисов,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управляющие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кооперативы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помещений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 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год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 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установ-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периодич-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проверок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 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установлен-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 перио-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дичности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проверок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вводе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эксплуа-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тацию,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периодичности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проверок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вводе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экс-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плуа-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тацию,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 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год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вводе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тацию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Парки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 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год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вводе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тацию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Объекты временного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(гостиницы,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мотели, кемпинги,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общежития,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вахтовые поселки)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 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год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 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установ-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периодич-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проверок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 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установлен-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 перио-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дичности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проверок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вводе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эксплуа-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тацию,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периодичности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проверок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вводе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экс-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плуа-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тацию,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 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год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вводе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тацию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Водоемы второй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категории, пляжи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 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год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 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установ-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периодич-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проверок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 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установлен-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 перио-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дичности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проверок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вводе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эксплуа-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тацию,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периодичности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проверок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вводе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тацию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Объекты сбора,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хранения,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транспортировки,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удаления,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сортировки,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переработки,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обезвреживания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утилизации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отходов, 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 медицинских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отходов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 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год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 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установ-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периодич-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проверок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 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установлен-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 перио-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дичности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проверок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вводе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эксплуа-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тацию,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периодичности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проверок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вводе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экс-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плуа-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тацию,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 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год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вводе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тацию</w:t>
            </w:r>
          </w:p>
        </w:tc>
      </w:tr>
      <w:tr>
        <w:trPr>
          <w:trHeight w:val="148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 виды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лабораторий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 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год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 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установ-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периодич-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проверок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 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установлен-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 перио-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дичности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проверок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вводе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эксплуа-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тацию,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периодичности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проверок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вводе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экс-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плуа-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тацию,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 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год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вводе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тацию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опасные объекты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 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год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 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установ-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периодич-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проверок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вводе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эксплуа-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тацию,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периодичности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проверок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вводе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экс-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плуа-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тацию,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 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год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вводе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тацию,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год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Сооружения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защитная зона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 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год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вводе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экс-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плуа-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тацию,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 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год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вводе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тацию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Объекты отраслей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промышленности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 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год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 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установ-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периодич-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проверок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вводе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эксплуа-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тацию,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периодичности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проверок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вводе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экс-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плуа-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тацию,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 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год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вводе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тацию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(воздушных,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железнодорожных,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автомобильных)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пассажиров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 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год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 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установ-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периодич-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проверок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 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установлен-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 перио-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дичности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проверок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вводе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эксплуа-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тацию,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периодичности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проверок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вводе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экс-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плуа-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тацию,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 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год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вводе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тацию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Склады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химических веществ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продукции,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агрохимикатов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пестицидов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(ядохимикатов),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вакцин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иммунобиологических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препаратов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 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год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 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установ-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периодич-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проверок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вводе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эксплуа-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тацию,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периодичности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проверок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вводе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экс-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плуа-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тацию,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 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год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вводе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тацию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Склады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парфюмерно-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косметической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продукции,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гигиены и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назначения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 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год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 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установ-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периодич-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проверок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вводе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эксплуа-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тацию,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периодичности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проверок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вводе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экс-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плуа-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тацию,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 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год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вводе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тацию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переработке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хранению,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транспортировке,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препаратов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дезинфекции,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дезинсекции,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дератизации,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иммунобиологических,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диагностических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препаратов,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также по оказанию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 работ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услуг, связанных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их использованием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 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год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 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установ-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периодич-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проверок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вводе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эксплуа-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тацию,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периодичности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проверок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вводе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экс-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плуа-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тацию,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 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год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вводе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тацию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Канализационные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сооружения и сети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 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год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 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установ-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периодич-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проверок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 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установлен-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 перио-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дичности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проверок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вводе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эксплуа-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тацию,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периодичности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проверок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вводе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экс-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плуа-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тацию,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 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год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вводе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тацию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Примечание. Периодичность контроля за безопасностью питьевой воды распределительной сети (контрольные точки) устанавливается государственными органами санитарно-эпидемиологической службы исходя из санитарно-эпидемиологической ситуации на подконтрольной территории.</w:t>
      </w:r>
    </w:p>
    <w:bookmarkStart w:name="z4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Критериям оценки степени рисков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сфере частного предпринимательства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области санитарно-эпидемиологического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благополучия населения           </w:t>
      </w:r>
    </w:p>
    <w:bookmarkEnd w:id="12"/>
    <w:bookmarkStart w:name="z44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Критерии оценки степени риска для объектов 1 группы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4"/>
        <w:gridCol w:w="6176"/>
        <w:gridCol w:w="2256"/>
        <w:gridCol w:w="1879"/>
        <w:gridCol w:w="2195"/>
      </w:tblGrid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критериев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нарушений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баллов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(+/-)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Несоответствие результатов лабораторно-инструментальных исследований (свыше 10 % от общего количества замеров)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Грубые нарушения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баллов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Несоответствие результатов лабораторных исследований проб пищи (свыше 10 % от общего количества проб), воды (свыше 10 % от общего количества проб), смывов (свыше 2 % от общего количества смывов)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Грубые нарушения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баллов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Нарушения по организации и проведению санитарно-противоэпидемических (профилактических) мероприятий, организации инфекционного контроля 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Грубые нарушения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баллов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требований к хранению, использованию и реализации средств и препаратов дезинсекции, дератизации, дезинфекции, иммунобиологических, лекарственных препаратов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Грубые нарушения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баллов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Нарушение требований к водоснабжению, водоотведению, вентиляции, освещению, кондиционированию, микроклимату 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Грубые нарушения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баллов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у декретированных групп населения предварительного и/или периодического (с целью предупреждения и нераспространения инфекционных и паразитарных заболеваний) медицинского осмотра, вакцинации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Грубые нарушения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баллов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требований к проведению дезинфекционных, дезинсекционных и дератизационных мероприятий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Грубые нарушения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баллов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Превышение проектной мощности объекта. Несоблюдение норм площади на одного человека/ребенка/место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 нарушения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баллов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требований к устройству и содержанию объекта, к набору, размещению и санитарно-техническому состоянию помещений, по обеспечению разделения «чистых» и «грязных» потоков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 нарушения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баллов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требований к содержанию и эксплуатации оборудования, отсутствие, недостаток, неисправность технологического, холодильного, производственного и медицинского оборудования, нарушение требований к его расстановке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 нарушения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баллов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Приготовление и использование запрещенных блюд, изделий, продуктов и продукции, в соответствии с действующим законодательством Республики Казахстан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 нарушения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баллов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условий и сроков хранения продуктов, сроков реализации готовой продукции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 нарушения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баллов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требований к условиям производства (технологическому процессу, технологии производства), предоставляемым услугам, организация производственного контроля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 нарушения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баллов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Отсутствие документов, подтверждающих безопасность сырья, продуктов питания и оборудования, контактирующего с пищевыми продуктами и водой 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 нарушений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баллов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правил эксплуатации оборудования и инвентаря, требований к их содержанию, мытью и обработке. Нарушение требований к маркировке кухонного инвентаря, к оснащенности технологическим оборудованием, твердым и мягким инвентарем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 нарушения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баллов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требований к сбору, стирке, транспортировке и хранению белья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 нарушения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баллов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требований к сбору, хранению, транспортировке, обезвреживанию и утилизации отходов, в том числе медицинских отходов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 нарушения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баллов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требований к оснащению, оборудованию и содержанию медицинского, прививочного кабинета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Незначительные нарушения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балл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Нарушение условий труда, требований к бытовому обслуживанию, к производственной гигиене 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Незначительные нарушения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балл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требований к мебели, спортивному и игровому оборудованию, игровым и спортивным площадкам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Незначительные нарушения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балл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требований к зонированию, содержанию и благоустройству территории, санитарному состоянию санитарно-дворовых установок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Незначительные нарушения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балл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5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Критерии оценки степени риска для объектов 2 группы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4"/>
        <w:gridCol w:w="6176"/>
        <w:gridCol w:w="2256"/>
        <w:gridCol w:w="1900"/>
        <w:gridCol w:w="2174"/>
      </w:tblGrid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критериев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нарушений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баллов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(+/-)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Несоответствие результатов лабораторно-инструментальных исследований (свыше 10 % от общего количества замеров)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Грубые нарушения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баллов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Несоответствие результатов лабораторных исследований проб пищи (свыше 10% от общего количества проб), воды (свыше 10 % от общего количества проб), смывов (свыше 2 % от общего количества смывов)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Грубые нарушения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баллов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 по организации и проведению санитарно-противоэпидемических (профилактических) мероприятий, организации инфекционного контроля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Грубые нарушения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баллов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требований к хранению, использованию и реализации средств и препаратов дезинсекции, дератизации, дезинфекции, иммунобиологических, лекарственных препаратов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Грубые нарушения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баллов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у декретированных групп населения предварительного и/или периодического (с целью предупреждения и нераспространения инфекционных и паразитарных заболеваний) медицинского осмотра, вакцинации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Грубые нарушения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баллов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требований к проведению дезинфекционных, дезинсекционных и дератизационных мероприятий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Грубые нарушения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баллов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условий и сроков хранения продуктов, сроков реализации готовой продукции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 нарушения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баллов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Превышение проектной мощности объекта. Несоблюдение норм площади на одного человека/ребенка/место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 нарушения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баллов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требований к устройству и содержанию объекта, к набору, размещению и санитарно-техническому состоянию помещений, по обеспечению разделения «чистых» и «грязных» потоков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 нарушения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баллов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требований к содержанию и эксплуатации оборудования, отсутствие, недостаток, неисправность технологического, холодильного, производственного и медицинского оборудования, нарушение требований к его расстановке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 нарушения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баллов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требований к водоснабжению, водоотведению, вентиляции, освещению, кондиционированию, микроклимату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 нарушения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баллов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Приготовление и использование запрещенных блюд, изделий, продуктов и продукции, в соответствии с действующим законодательством Республики Казахстан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 нарушения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баллов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требований к условиям производства (технологическому процессу, технологии производства), предоставляемым услугам, организация производственного контроля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 нарушения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баллов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Отсутствие документов, подтверждающих безопасность сырья, продуктов питания и оборудования, контактирующего с пищевыми продуктами и водой 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 нарушений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баллов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требований к сбору, стирке, транспортировке и хранению белья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 нарушения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баллов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Нарушение требований к сбору, хранению, транспортировке, обезвреживанию и утилизации отходов, в том числе медицинских отходов 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 нарушения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баллов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требований к оснащению, оборудованию и содержанию медицинского, прививочного кабинета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Незначительные нарушения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балл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Нарушение условий труда, требований к бытовому обслуживанию, к производственной гигиене 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Незначительные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балл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Нарушение требований к мебели, спортивному и игровому оборудованию, игровым и спортивным площадкам 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Незначительные нарушения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балл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правил эксплуатации оборудования и инвентаря, требований к их содержанию, мытью и обработке. Нарушение требований к маркировке кухонного инвентаря, к оснащенности технологическим оборудованием, твердым и мягким инвентарем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Незначительные нарушения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балл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требований к зонированию, содержанию и благоустройству территории, санитарному состоянию санитарно-дворовых установок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Незначительные нарушения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балл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6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Критерии оценки степени риска для объектов 3 группы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4"/>
        <w:gridCol w:w="6176"/>
        <w:gridCol w:w="2256"/>
        <w:gridCol w:w="1942"/>
        <w:gridCol w:w="2132"/>
      </w:tblGrid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критериев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нарушений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баллов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(+/-)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Несоответствие результатов лабораторно-инструментальных исследований (свыше 10 % от общего количества замеров)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Грубые нарушения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баллов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Несоответствие результатов лабораторных исследований проб пищи (свыше 10% от общего количества проб), воды (свыше 10 % от общего количества проб), смывов (свыше 2 % от общего количества смывов)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Грубые нарушения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баллов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Отсутствие у декретированных групп населения предварительного и/или периодического (с целью предупреждения и нераспространения инфекционных и паразитарных заболеваний) медицинского осмотра, вакцинации 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Грубые нарушения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баллов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требований к хранению и использованию и реализации средств и препаратов дезинсекции, дератизации, дезинфекции, иммунобиологических, лекарственных препаратов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Грубые нарушения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баллов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Нарушения по организации и проведению санитарно-противоэпидемических (профилактических) мероприятий, организации инфекционного контроля 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Грубые нарушения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баллов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Превышение проектной мощности объекта. Несоблюдение норм площади на одного человека/ребенка/место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 нарушения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баллов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требований к сбору, стирке, транспортировке и хранению белья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 нарушения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баллов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требований к устройству и содержанию объекта, к набору, размещению и санитарно-техническому состоянию помещений, по обеспечению разделения «чистых» и «грязных» потоков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 нарушения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баллов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требований к содержанию и эксплуатации оборудования, отсутствие, недостаток, неисправность технологического, холодильного, производственного и медицинского оборудования, нарушение требований к его расстановке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 нарушения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баллов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требований к водоснабжению, водоотведению, вентиляции, освещению, кондиционированию, микроклимату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 нарушения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баллов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Приготовление и использование запрещенных блюд, изделий, продуктов и продукции, в соответствии с действующим законодательством Республики Казахстан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 нарушения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баллов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требований к условиям производства (технологическому процессу, технологии производства), предоставляемым услугам, организация производственного контроля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 нарушения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баллов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Отсутствие документов, подтверждающих безопасность сырья, продуктов питания и оборудования, контактирующего с пищевыми продуктами и водой 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 нарушений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баллов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требований к эксплуатации оборудования и инвентаря, требований к их содержанию, мытью и обработке. Нарушение требований к маркировке кухонного инвентаря, к оснащенности технологическим оборудованием, твердым и мягким инвентарем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 нарушения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баллов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условий и сроков хранения продуктов, сроков реализации готовой продукции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 нарушения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баллов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требований к мебели, спортивному и игровому оборудованию, игровым и спортивным площадкам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Незначительные нарушения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балл 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требований к проведению дезинфекционных, дезинсекционных и дератизационных мероприятий,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Незначительные нарушения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балл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Нарушение условий труда, требований к бытовому обслуживанию, производственной гигиене 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Незначительные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балл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требований к оснащению, оборудованию и содержанию медицинского, прививочного кабинета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Незначительные нарушения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балл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требований к сбору, хранению, транспортировке, обезвреживанию и утилизации отходов, в том числе медицинских отходов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Незначительные нарушения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балл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6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требований к зонированию, содержанию и благоустройству территории, санитарному состоянию санитарно-дворовых установок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Незначительные нарушения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балл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Критериям оценки степени рисков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сфере частного предпринимательства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области санитарно-эпидемиологического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благополучия населения           </w:t>
      </w:r>
    </w:p>
    <w:bookmarkEnd w:id="16"/>
    <w:bookmarkStart w:name="z48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Расчет баллов по распределению объектов 1 группы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3"/>
        <w:gridCol w:w="3794"/>
        <w:gridCol w:w="1809"/>
        <w:gridCol w:w="3251"/>
        <w:gridCol w:w="3043"/>
      </w:tblGrid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 нарушений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критериев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Расчет баллов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Диапазон баллов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Незначительные нарушения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критерий = 1 баллу</w:t>
            </w:r>
          </w:p>
        </w:tc>
        <w:tc>
          <w:tcPr>
            <w:tcW w:w="30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121 балла и выше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 нарушения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критерий = 10 баллам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Грубые нарушения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критерий = 20 баллам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49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Расчет баллов по распределению объектов 2 группы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3"/>
        <w:gridCol w:w="3794"/>
        <w:gridCol w:w="1809"/>
        <w:gridCol w:w="3251"/>
        <w:gridCol w:w="3043"/>
      </w:tblGrid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 нарушений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критериев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Расчет баллов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Диапазон баллов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Незначительные нарушения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критерий = 1 баллу</w:t>
            </w:r>
          </w:p>
        </w:tc>
        <w:tc>
          <w:tcPr>
            <w:tcW w:w="30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101 до 120 баллов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 нарушения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критерий = 10 баллам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Грубые нарушения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критерий = 20 баллам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50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Расчет баллов по распределению объектов 3 группы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3"/>
        <w:gridCol w:w="3794"/>
        <w:gridCol w:w="1809"/>
        <w:gridCol w:w="3251"/>
        <w:gridCol w:w="3043"/>
      </w:tblGrid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 нарушений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критериев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Расчет баллов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Диапазон баллов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Незначительные нарушения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критерий = 1 баллу</w:t>
            </w:r>
          </w:p>
        </w:tc>
        <w:tc>
          <w:tcPr>
            <w:tcW w:w="30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 до 100 баллов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 нарушения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критерий = 10 баллам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Грубые нарушения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критерий = 20 баллам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5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Критериям оценки степени рисков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сфере частного предпринимательства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области санитарно-эпидемиологического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благополучия населения           </w:t>
      </w:r>
    </w:p>
    <w:bookmarkEnd w:id="20"/>
    <w:bookmarkStart w:name="z5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Утверждаю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Главный государственный санитарный врач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ФИО, подпись                </w:t>
      </w:r>
    </w:p>
    <w:bookmarkStart w:name="z53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Определение степени риска для объектов государственного</w:t>
      </w:r>
      <w:r>
        <w:br/>
      </w:r>
      <w:r>
        <w:rPr>
          <w:rFonts w:ascii="Times New Roman"/>
          <w:b/>
          <w:i w:val="false"/>
          <w:color w:val="000000"/>
        </w:rPr>
        <w:t>
санитарно-эпидемиологического надзора 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
наименование объекта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5"/>
        <w:gridCol w:w="1523"/>
        <w:gridCol w:w="1307"/>
        <w:gridCol w:w="2127"/>
        <w:gridCol w:w="1717"/>
        <w:gridCol w:w="1717"/>
        <w:gridCol w:w="1523"/>
        <w:gridCol w:w="1524"/>
        <w:gridCol w:w="1718"/>
        <w:gridCol w:w="899"/>
      </w:tblGrid>
      <w:tr>
        <w:trPr>
          <w:trHeight w:val="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риска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запланированных проверок объекта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фактически проведенных проверок объекта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выявленных нарушений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Диапазон баллов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Переведен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группы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группу 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переведен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группы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группу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чание</w:t>
            </w:r>
          </w:p>
        </w:tc>
      </w:tr>
      <w:tr>
        <w:trPr>
          <w:trHeight w:val="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Заключение 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 (указывается количество набранных баллов, количество проверок в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(полугодие), группа риска,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ФИО, должность, подпись специалиста, проводившего определение группы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риска</w:t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_______________________________________________________________________________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