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df3b6" w14:textId="59df3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от 17 марта 2010 года N 25-3-IV "Об утверждении Правил оказания жилищной помощи малообеспеченным семьям (гражданам) Бородулихинского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09 февраля 2012 года N 2-3-V. Зарегистрировано Управлением юстиции Бородулихинского района Департамента юстиции Восточно-Казахстанской области 14 февраля 2012 года за N 5-8-146. Утратило силу решением Бородулихинского районного маслихата Восточно-Казахстанской области от 21 декабря 2012 года N 11-5-V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Бородулихинского районного маслихата Восточно-Казахстанской области от 21.12.2012 </w:t>
      </w:r>
      <w:r>
        <w:rPr>
          <w:rFonts w:ascii="Times New Roman"/>
          <w:b w:val="false"/>
          <w:i w:val="false"/>
          <w:color w:val="ff0000"/>
          <w:sz w:val="28"/>
        </w:rPr>
        <w:t>N 11-5-V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«Об утверждении Правил предоставления жилищной помощи»,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«О некоторых вопросах компенсации повышения тарифов абонентской платы за оказание услуг социально-защищаемым гражданам», Бородулихинский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17 марта 2010 года № 25-3-IV «Об утверждении Правил оказания жилищной помощи малообеспеченным семьям (гражданам) Бородулихинского района» (зарегистрированное в Реестре государственной регистрации нормативных правовых актов 15 апреля 2010 года за № 5-8-108, опубликовано в районной газете «Пульс района» 23 апреля 2010 года № 19 (6339)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2</w:t>
      </w:r>
      <w:r>
        <w:rPr>
          <w:rFonts w:ascii="Times New Roman"/>
          <w:b w:val="false"/>
          <w:i w:val="false"/>
          <w:color w:val="000000"/>
          <w:sz w:val="28"/>
        </w:rPr>
        <w:t xml:space="preserve"> «Условия предоставления жилищной помощи» Правил оказания жилищной помощи малообеспеченным семьям (гражданам) Бородулихинского района дополнить следующим </w:t>
      </w:r>
      <w:r>
        <w:rPr>
          <w:rFonts w:ascii="Times New Roman"/>
          <w:b w:val="false"/>
          <w:i w:val="false"/>
          <w:color w:val="000000"/>
          <w:sz w:val="28"/>
        </w:rPr>
        <w:t>пунктом 12-1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«12-1. Размер компенсации повышения тарифов абонентской платы за оказание услуг телекоммуникаций малообеспеченным гражданам определить как разница между действующей абонентской платой и абонентской платой, действовавшей в сентябре 2004 года.».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      С. Быков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     У. Майжанов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