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92c1" w14:textId="b909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28 августа 2014 года № а-6/248. Зарегистрировано Департаментом юстиции Акмолинской области 3 октября 2014 года № 4384. Утратило силу постановлением акимата Енбекшильдерского района Акмолинской области от 27 мая 2015 года № а-5/106.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Енбекшильдерского района Акмолинской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а-5/106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Шауенова С.Ж.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А.Садуақасұлы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а-6/248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– коэффициент, учитывающий тип строения;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 – коэффициент, учитывающий вид нежилого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– коэффициент, учитывающий степень комфортности;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коэффициент, учитывающий территориальное расположение;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Квд – коэффициент, учитывающий вид деятельности нанимателя;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Копф – коэффициент, учитывающий организационно-правовую форму нанимателя.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других, непотребляемых вещей осуществляется по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С х Nam/100 х Кп,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оборудование, транспортные средства и другие, непотребляемые вещи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остаточная стоимость оборудования по данным бухгалтерского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Nam –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– понижающий коэффициент (применяется при износе оборудования, транспортных средств и других непотребляемых вещей более 60 процентов –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– в размере 0,5).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Ач = Ап/12/Д/24,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 – ставка арендной платы, указанная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 (аренду).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коэффициентов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коэффициента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тип строения (Кт):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офисное, административное, общественное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предназначенное для нужд сельского хозяйства, производственное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складское, гаражное, котельное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нежилого помещения (Кк)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здание или помещение в здании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пристроенная часть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цокольная (полуподвальная) часть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подвальная часть, крыша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степень комфортности (Кск)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территориальное расположение (Кр)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город, поселок (районный центр)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село, поселок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деятельности нанимателя (Квд):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для организации общественного питания, гостиничных услуг, торговой или торгово-посреднической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для организации услуг в области: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дошкольного воспитания и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высшего, технического и профессионального образования;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для организации услуг в области здравоохранения, культуры, туризма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(розничной торговлей)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для организации питания и буфетов в помещениях в которых располагаются государственные юридические лица, с графиком работы не превышающим графики работ данных учреждений и предприятий (розничной торговлей)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 для предоставления услуг в сфере почтовой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 для прочих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организационно-правовую форму нанимателя (Копф):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для некоммерческих организаций (кроме неправительственных организаций)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для неправительственных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для прочих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