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914c" w14:textId="1129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апреля 2016 года № 353. Зарегистрирован в Министерстве юстиции Республики Казахстан 4 мая 2016 года № 13680. Утратил силу приказом Министра внутренних дел Республики Казахстан от 18 марта 2017 года № 206 (вводится в действие по истечении десяти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внутренних дел РК от 18.03.2017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12705),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внутренних дел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апреля 2015 года № 380 "Об утверждении Методики ежегодной оценки деятельности административных государственных служащих корпуса "Б" Министерства внутренних дел Республики Казахстан" (зарегистрированный в Реестре государственной регистрации нормативных правовых актов за № 11210, опубликованный 3 июля 2015 года в Информационно-правовой системе нормативных правовых актов Республики Казахстан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Департаменту кадровой работы Министерства внутренних дел Республики Казахстан (Абдигалиев А.У.)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и Департамент кадровой работы Министерства внутренних дел Республики Казахстан (Абдигалиев А.У.).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2016 года № 353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Методика оценки деятельности административных государственных служащих корпуса "Б" Министерства внутренних дел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</w:t>
      </w:r>
      <w:r>
        <w:rPr>
          <w:rFonts w:ascii="Times New Roman"/>
          <w:b w:val="false"/>
          <w:i w:val="false"/>
          <w:color w:val="000000"/>
          <w:sz w:val="28"/>
        </w:rPr>
        <w:t>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центрального аппарата Министерства внутренних дел Республики Казахстан, ведомств и территориальных подразделений (далее – служащие корпуса "Б").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Методики.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кадровая служба.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по оценке принимается открытым голосованием.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кадровой службы. Секретарь Комиссии по оценке не принимает участие в голосовании.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корпуса "Б" на должность по истечении указанного в пункте 10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центрального аппарата Министерства внутренних дел, ведомств и территориальных подразделений, а в случае ее (их) отсутствия, исходя из его функциональных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центральному аппарату Министерства внутренних дел, ведомств и территориальных подразделений.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Кадровая служба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Кадровая служба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Поощряемые показатели и виды деятельности определяются центральным аппаратом Министерства внутренних дел, ведомствами и территориальными подразделениями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центрального аппарата Министерства внутренних дел, ведомств и территориальных подразделений, непосредственного руководителя и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нарушения служащими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кадровой службы, непосредственного руководителя служащего корпуса "Б".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кадровой службой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корпуса "Б".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Методики, определяется кадровой службой не позднее одного месяца до проведения оценки, исходя из должностных обязанностей и служебных взаимодействий служащего корпуса "Б".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29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кадровую службу в течение двух рабочих дней со дня их получения.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Кадровая служба осуществляет расчет среднего значения круговой оценки.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Итоговая квартальная оценка служащего корпуса "Б" вычисляется непосредственным руководителем по следующей формуле: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25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81 до 105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кадровой службой не позднее пяти рабочих дней до заседания Комиссии по оценке по следующей формуле: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</w:p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Кадровая служба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Комиссия рассматривает результаты оценки и принимает одно из следующих решений: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кадровой службой при расчете результата оценки служащего корпуса "Б".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корпуса "Б" от ознакомления не может служить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кадровой службы в произвольной форме составляется акт об отказе от ознакомления.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Методики, а также подписанный протокол заседания Комиссии хранятся в кадровой службе.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Информация о принятом решении представляется центральным аппаратом Министерства внутренних дел, ведомствами и территориальными подразделениями в течение двух недель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территориальный департамент.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Служащий корпуса "Б" вправе обжаловать результаты оценки в суде.</w:t>
      </w:r>
    </w:p>
    <w:bookmarkEnd w:id="59"/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Результаты оценки являются основаниями для принятия решений по выплате бонусов и обучению.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Бонусы выплачиваются служащим корпуса "Б" с результатами оценки "превосходно" и "эффективно".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Результаты оценки деятельности служащих корпуса "Б" вносятся в их </w:t>
      </w:r>
      <w:r>
        <w:rPr>
          <w:rFonts w:ascii="Times New Roman"/>
          <w:b w:val="false"/>
          <w:i w:val="false"/>
          <w:color w:val="000000"/>
          <w:sz w:val="28"/>
        </w:rPr>
        <w:t>послужные списки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7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мероприятий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 мероприятия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3"/>
        <w:gridCol w:w="6587"/>
      </w:tblGrid>
      <w:tr>
        <w:trPr>
          <w:trHeight w:val="30" w:hRule="atLeast"/>
        </w:trPr>
        <w:tc>
          <w:tcPr>
            <w:tcW w:w="5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___________________квартал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80"/>
        <w:gridCol w:w="6620"/>
      </w:tblGrid>
      <w:tr>
        <w:trPr>
          <w:trHeight w:val="30" w:hRule="atLeast"/>
        </w:trPr>
        <w:tc>
          <w:tcPr>
            <w:tcW w:w="5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квартальная/годовая и оцениваемый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9"/>
        <w:gridCol w:w="4724"/>
        <w:gridCol w:w="1930"/>
        <w:gridCol w:w="2626"/>
        <w:gridCol w:w="1091"/>
      </w:tblGrid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 (при его наличии).,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