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3733" w14:textId="7cb3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субсидий, а также критериев и требований по направлению субсидирования возмещения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мая 2016 года № 242. Зарегистрировано Департаментом юстиции Костанайской области 13 июня 2016 года № 6448. Утратило силу постановлением акимата Костанайской области от 28 марта 2017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под № 9987)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субсидий, а также критерии и требования по направлению субсидирования возмещения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28 июля 2015 года № 314 "Об утверждении норматива субсидий, а также критериев и требований по направлению субсидирования возмещение до 100% затрат по искусственному осеменению маточного поголовья крупного рогатого скота в личных подсобных хозяйствах" (зарегистрировано в Реестре государственной регистрации нормативных правовых актов под № 5848, опубликовано 8 сентября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242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субсидий, а также 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по направлению субсидирования возмещения до 100% затрат</w:t>
      </w:r>
      <w:r>
        <w:br/>
      </w:r>
      <w:r>
        <w:rPr>
          <w:rFonts w:ascii="Times New Roman"/>
          <w:b/>
          <w:i w:val="false"/>
          <w:color w:val="000000"/>
        </w:rPr>
        <w:t>по искусственному осеменению маточного поголовья крупного рогатого скота</w:t>
      </w:r>
      <w:r>
        <w:br/>
      </w:r>
      <w:r>
        <w:rPr>
          <w:rFonts w:ascii="Times New Roman"/>
          <w:b/>
          <w:i w:val="false"/>
          <w:color w:val="000000"/>
        </w:rPr>
        <w:t>в крестьянских (фермерских),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и производственных кооперативах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Норматив субсидий по направлению субсидирования возмещения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 – 4673 тенге за одну маточную голову.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Критерии и требования по направлению субсидирования возмещения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 регистрации физических и юридических лиц (поставщиков услуг по искусственному осеменению животных), в реестре субъектов в области племенного животноводства Республики Казахстан в качестве техника-осеменатора, дистрибьютерного центра, племенного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