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d375" w14:textId="c68d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Туркестанского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17 апреля 2017 года № 15/87-VI. Зарегистрировано Департаментом юстиции Южно-Казахстанской области 20 апреля 2017 года № 4065. Утратило силу решением Туркестанского городского маслихата Южно-Казахстанской области от 19 марта 2018 года № 28/155-VI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28/155-VI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Туркестанского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15 марта 2016 года № 55/308-V "Об утверждении Методики оценки деятельности административных государственных служащих корпуса "Б" аппарата Туркестанского городского маслихата" (зарегистрированного в Реестре государственной регистрации нормативных правовых актов за № 3643, опубликованного 1 апреля 2016 года в газете "Туркистон").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15/87-VІ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Туркестанского городского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Туркестанского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Туркестанского городского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ответственный за 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ответственный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ответственному за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ответственный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ответственный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ответственного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ответственным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ответственным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(включительно) баллов – "удовлетворительно",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106 до 130 (включительно) баллов – "эффективно",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ответственным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ответственным за службу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баллов – "неудовлетворительно",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баллов – "удовлетворительно",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ответственный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ответственный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ответственный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ответственным за службу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ответственного за службу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4"/>
        <w:gridCol w:w="6556"/>
      </w:tblGrid>
      <w:tr>
        <w:trPr>
          <w:trHeight w:val="30" w:hRule="atLeast"/>
        </w:trPr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94"/>
        <w:gridCol w:w="1434"/>
        <w:gridCol w:w="1434"/>
        <w:gridCol w:w="2787"/>
        <w:gridCol w:w="1908"/>
        <w:gridCol w:w="1587"/>
        <w:gridCol w:w="386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дисципли-ны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30"/>
        <w:gridCol w:w="2385"/>
        <w:gridCol w:w="498"/>
        <w:gridCol w:w="1687"/>
        <w:gridCol w:w="3361"/>
        <w:gridCol w:w="1493"/>
        <w:gridCol w:w="16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4818"/>
        <w:gridCol w:w="1807"/>
        <w:gridCol w:w="2459"/>
        <w:gridCol w:w="102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</w:t>
      </w:r>
      <w:r>
        <w:rPr>
          <w:rFonts w:ascii="Times New Roman"/>
          <w:b w:val="false"/>
          <w:i/>
          <w:color w:val="000000"/>
          <w:sz w:val="28"/>
        </w:rPr>
        <w:t>фамилия,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иницалы,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