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55872c" w14:textId="7558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Методики оценки деятельности административных государственных служащих корпуса "Б" государственного учреждения "Аппарат акима города Курчатов Восточно-Казахстанской области", исполнительных органов, финансируемых из местного бюджета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Курчатов Восточно-Казахстанской области от 4 апреля 2017 года № 88. Зарегистрировано Департаментом юстиции Восточно-Казахстанской области 5 мая 2017 года № 5008. Утратило силу - постановлением акимата города Курчатова Восточно-Казахстанской области от 25 мая 2018 года № 698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постановлением акимата города Курчатов Восточно-Казахстанской области от 25.05.2018 </w:t>
      </w:r>
      <w:r>
        <w:rPr>
          <w:rFonts w:ascii="Times New Roman"/>
          <w:b w:val="false"/>
          <w:i w:val="false"/>
          <w:color w:val="ff0000"/>
          <w:sz w:val="28"/>
        </w:rPr>
        <w:t>№ 698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Председателя Агентства Республики Казахстан по делам государственной службы и противодействию коррупции от 29 декабря 2016 года № 110 "О некоторых вопросах оценки деятельности административных государственных служащих" (зарегистрировано в Реестре государственной регистрации нормативных правовых актов за № 14637), акимат города Курчатов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прилагаемую </w:t>
      </w:r>
      <w:r>
        <w:rPr>
          <w:rFonts w:ascii="Times New Roman"/>
          <w:b w:val="false"/>
          <w:i w:val="false"/>
          <w:color w:val="000000"/>
          <w:sz w:val="28"/>
        </w:rPr>
        <w:t>Методику</w:t>
      </w:r>
      <w:r>
        <w:rPr>
          <w:rFonts w:ascii="Times New Roman"/>
          <w:b w:val="false"/>
          <w:i w:val="false"/>
          <w:color w:val="000000"/>
          <w:sz w:val="28"/>
        </w:rPr>
        <w:t xml:space="preserve"> оценки деятельности административных государственных служащих корпуса "Б" государственного учреждения "Аппарат акима города Курчатов Восточно-Казахстанской области", исполнительных органов, финансируемых из местного бюджета.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Контроль за исполнением настоящего постановления акимата возложить на руководителя аппарата акима города Кошкарбаева Н. Т.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города Курчатов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Ондаканов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постановлением акимата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Курчатов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04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апреля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2017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  <w:u w:val="single"/>
              </w:rPr>
              <w:t>88</w:t>
            </w:r>
          </w:p>
        </w:tc>
      </w:tr>
    </w:tbl>
    <w:bookmarkStart w:name="z6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Методика оценки деятельности административных государственных служащих корпуса "Б" государственного учреждения "Аппарат акима города Курчатов Восточно-Казахстанской области", исполнительных органов, финансируемых из местного бюджета </w:t>
      </w:r>
    </w:p>
    <w:bookmarkEnd w:id="4"/>
    <w:bookmarkStart w:name="z7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 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Настоящая Методика оценки деятельности административных государственных служащих корпуса "Б" государственного учреждения исполнительных органов, финансируемых из местного бюджета (далее – Методика) разработана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33 Закона Республики Казахстан от 23 ноября 2015 года "О государственной службе Республики Казахстан" и определяет алгоритм оценки деятельности административных государственных служащих корпуса "Б" (далее – служащие корпуса "Б").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Оценка деятельности служащих корпуса "Б" (далее – оценка) проводится для определения эффективности и качества их работы.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Оценка проводится по результатам деятельности служащего корпуса "Б" на занимаемой должности: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 итогам квартала (квартальная оценка) – не позднее десятого числа месяца, следующего за отчетным кварталом (за исключением четвертого квартала, оценка которого проводится не позднее десятого декабря);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 итогам года (годовая оценка) – не позднее двадцать пятого декабря оцениваемого года.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служащего корпуса "Б" не проводится в случаях, если срок пребывания на занимаемой должности в оцениваемом периоде составляет менее трех месяцев, а также в период испытательного срока.</w:t>
      </w:r>
    </w:p>
    <w:bookmarkEnd w:id="11"/>
    <w:bookmarkStart w:name="z1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Служащие корпуса "Б", находящиеся в социальных отпусках либо периоде временной нетрудоспособности, проходят оценку в течение 5 рабочих дней после выхода на работу.</w:t>
      </w:r>
    </w:p>
    <w:bookmarkEnd w:id="12"/>
    <w:bookmarkStart w:name="z1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Квартальная оценка проводится непосредственным руководителем и основывается на оценке исполнения служащим корпуса "Б" должностных обязанностей.</w:t>
      </w:r>
    </w:p>
    <w:bookmarkEnd w:id="13"/>
    <w:bookmarkStart w:name="z1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Непосредственным руководителем служащего корпуса "Б" является лицо, которому данный служащий подчинен согласно своей должностной инструкции.</w:t>
      </w:r>
    </w:p>
    <w:bookmarkEnd w:id="14"/>
    <w:bookmarkStart w:name="z1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руководителей исполнительных органов города, финансируемых из местного бюджета, оценка проводится акимом города, либо по его уполномочию одним из его заместителей.</w:t>
      </w:r>
    </w:p>
    <w:bookmarkEnd w:id="15"/>
    <w:bookmarkStart w:name="z1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Годовая оценка складывается из:</w:t>
      </w:r>
    </w:p>
    <w:bookmarkEnd w:id="16"/>
    <w:bookmarkStart w:name="z1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средней оценки служащего корпуса "Б" за отчетные кварталы;</w:t>
      </w:r>
    </w:p>
    <w:bookmarkEnd w:id="17"/>
    <w:bookmarkStart w:name="z2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оценки выполнения служащим корпуса "Б" индивидуального плана работы по форме,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18"/>
    <w:bookmarkStart w:name="z2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Для проведения оценки должностным лицом, имеющим право назначения на государственную должность и освобождения от государственной должности служащего корпуса "Б", создается Комиссия по оценке, рабочим органом которой является отдел службы управления персоналом (кадровая служба) аппарата акима города (далее – отдел по управлению персоналом).</w:t>
      </w:r>
    </w:p>
    <w:bookmarkEnd w:id="19"/>
    <w:bookmarkStart w:name="z2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Заседание Комиссии по оценке считается правомочным, если на нем присутствовали не менее двух третей ее состава.</w:t>
      </w:r>
    </w:p>
    <w:bookmarkEnd w:id="20"/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Замена отсутствующего члена или председателя Комиссии по оценке осуществляется по решению уполномоченного лица путем внесения изменения в приказ о создании комиссии по оценке.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Решение Комиссии по оценке принимается открытым голосованием.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Результаты голосования определяются большинством голосов членов Комиссии по оценке. При равенстве голосов голос председателя комиссии является решающим.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Секретарем Комиссии по оценке является сотрудник отдела по управлению персоналом. Секретарь Комиссии по оценке не принимает участие в голосовании.</w:t>
      </w:r>
    </w:p>
    <w:bookmarkEnd w:id="24"/>
    <w:bookmarkStart w:name="z27" w:id="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Составление индивидуального плана работы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10. Индивидуальный план работы составляется служащим корпуса "Б" совместно с его непосредственным руководителем не позднее десятого января оцениваемого года,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При назначении служащего корпуса "Б" на должность после срока, указанного в </w:t>
      </w:r>
      <w:r>
        <w:rPr>
          <w:rFonts w:ascii="Times New Roman"/>
          <w:b w:val="false"/>
          <w:i w:val="false"/>
          <w:color w:val="000000"/>
          <w:sz w:val="28"/>
        </w:rPr>
        <w:t>пункте 10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 индивидуальный план работы служащего корпуса "Б" на занимаемой должности составляется в течение десяти рабочих дней со дня его назначения на должность.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Количество целевых показателей в индивидуальном плане работы служащего корпуса "Б" составляет не более четырех, которые должны быть конкретными, измеримыми, достижимыми, с определенным сроком исполнения.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Индивидуальный план составляется в двух экземплярах. Один экземпляр передается в отдел по управлению персоналом. Второй экземпляр находится у руководителя структурного подразделения служащего корпуса "Б".</w:t>
      </w:r>
    </w:p>
    <w:bookmarkEnd w:id="29"/>
    <w:bookmarkStart w:name="z32" w:id="3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Подготовка к проведению оценки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 Отдел по управлению персоналом формирует график проведения оценки по согласованию с председателем Комиссии по оценке.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за десять календарных дней до начала проведения оценки обеспечивает своевременное уведомление служащего корпуса "Б", подлежащего оценке, и лиц, осуществляющих оценку, о проведении оценки и направляет им оценочные листы для заполнения.</w:t>
      </w:r>
    </w:p>
    <w:bookmarkEnd w:id="32"/>
    <w:bookmarkStart w:name="z35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Квартальная оценка исполнения должностных обязанностей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15. Оценка исполнения должностных обязанностей складывается из базовых, поощрительных и штрафных баллов.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Базовые баллы устанавливаются на уровне 100 баллов за выполнение служащим своих должностных обязанностей.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17. Поощрительные баллы выставляются за показатели деятельности, превышающие средние объемы текущей работы, а также виды деятельности, являющиеся сложными в содержательном и/или организационном плане.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18. Показатели деятельности, превышающие средние объемы текущей работы и сложные виды деятельности определяются государственными органами самостоятельно исходя из своей отраслевой специфики и распределяются по пятиуровневой шкале в порядке возрастания объема и сложности осуществляемой работы. При этом в число поощряемых показателей и видов деятельности могут входить как фиксируемые, так и нефиксируемые в Единой системе электронного документооборота и Интранет-портале государственных органов документы и мероприятия.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каждый поощряемый показатель или вид деятельности служащему корпуса "Б" непосредственным руководителем присваиваются в соответствии с утвержденной шкалой от "+1" до "+5" баллов.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19. Штрафные баллы выставляются за нарушения исполнительской и трудовой дисциплины.</w:t>
      </w:r>
    </w:p>
    <w:bookmarkEnd w:id="39"/>
    <w:bookmarkStart w:name="z42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20. К нарушениям исполнительской дисциплины относятся нарушения сроков исполнения поручений вышестоящих органов, руководства государственного органа, непосредственного руководителя и обращений физических и юридических лиц.</w:t>
      </w:r>
    </w:p>
    <w:bookmarkEnd w:id="40"/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исполнительской дисциплины служат документально подтвержденные сведения от отдела канцелярии аппарата акима города (далее – отдел канцелярии) и непосредственного руководителя служащего корпуса "Б".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21. К нарушениям трудовой дисциплины относятся: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опоздания на работу без уважительной причины;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нарушения служащими служебной этики.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Источниками информации о фактах нарушения трудовой дисциплины служат документально подтвержденные сведения от отдела по управлению персоналом и непосредственного руководителя служащего корпуса "Б".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За каждое нарушение исполнительской и трудовой дисциплины служащему корпуса "Б" выставляются штрафные баллы в размере "– 2" балла за каждый факт нарушения.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23. Для проведения оценки исполнения должностных обязанностей служащий корпуса "Б" представляет для согласования заполненный оценочный лист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24. Непосредственный руководитель с учетом представленных отделом по управлению персоналом, отделом канцелярии сведений о фактах нарушения служащим корпуса "Б" трудовой и исполнительской дисциплины,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25. После согласования непосредственным руководителем оценочный лист подписывается служащим корпуса "Б".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подписания оценочного листа не является препятствием для направления документов на заседание Комиссии по оценке. В этом случае работником отдела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26. Итоговая квартальная оценка служащего корпуса "Б" вычисляется непосредственным руководителем по следующей формуле: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- квартальная оценка;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а - поощрительные баллы; 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- штрафные баллы.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27. Итоговая квартальная оценка выставляется по следующей шкале: менее 80 баллов – "неудовлетворительно", от 80 до 105 (включительно) баллов – "удовлетворительно", от 106 до 130 (включительно) баллов – "эффективно", свыше 130 баллов – "превосходно".</w:t>
      </w:r>
    </w:p>
    <w:bookmarkEnd w:id="55"/>
    <w:bookmarkStart w:name="z59" w:id="5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Годовая оценка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28. Для проведения годовой оценки служащий корпуса "Б" направляет для согласования заполненный оценочный лист выполнения индивидуального плана непосредственному руководителю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29. Непосредственный руководитель рассматривает оценочный лист на предмет достоверности представленных в нем сведений, вносит в него корректировки (в случае наличия) и согласовывает его.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30. Оценка выполнения индивидуального плана работы выставляется по следующей шкале: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невыполнение целевого показателя, предусмотренного индивидуальным планом работы, присваивается 2 балла;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частичное выполнение целевого показателя - 3 балла;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выполнение целевого показателя (достижение ожидаемого результата) - 4 балла;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 превышение ожидаемого результата целевого показателя - 5 баллов.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После согласования непосредственным руководителем оценочный лист заверяется служащим корпуса "Б".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Отказ от подписания оценочного листа служащего корпуса "Б" не может служить препятствием для направления документов на заседание Комиссии по оценке. В этом случае работником отдела по управлению персоналом и непосредственным руководителем служащего корпуса "Б" в произвольной форме составляется акт об отказе от ознакомления.</w:t>
      </w:r>
    </w:p>
    <w:bookmarkEnd w:id="65"/>
    <w:bookmarkStart w:name="z69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32. Итоговая годовая оценка служащего корпуса "Б" вычисляется отделом по управлению персоналом не позднее пяти рабочих дней до заседания Комиссии по оценке по следующей формуле: </w:t>
      </w:r>
    </w:p>
    <w:bookmarkEnd w:id="6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где - годовая оценка;</w:t>
      </w:r>
    </w:p>
    <w:bookmarkEnd w:id="6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- средняя оценка за отчетные кварталы (среднеарифметическое</w:t>
      </w:r>
    </w:p>
    <w:bookmarkStart w:name="z73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значение). При этом полученное среднеарифметическое значение квартальных оценок с учетом шкалы, указанной в </w:t>
      </w:r>
      <w:r>
        <w:rPr>
          <w:rFonts w:ascii="Times New Roman"/>
          <w:b w:val="false"/>
          <w:i w:val="false"/>
          <w:color w:val="000000"/>
          <w:sz w:val="28"/>
        </w:rPr>
        <w:t>пункте 27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приводится к пятибалльной системе оценок, а именно:</w:t>
      </w:r>
    </w:p>
    <w:bookmarkEnd w:id="68"/>
    <w:bookmarkStart w:name="z74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"неудовлетворительно" (менее 80 баллов) присваиваются 2 балла,</w:t>
      </w:r>
    </w:p>
    <w:bookmarkEnd w:id="69"/>
    <w:bookmarkStart w:name="z75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"удовлетворительно" (от 80 до 105 баллов) – 3 балла,</w:t>
      </w:r>
    </w:p>
    <w:bookmarkEnd w:id="70"/>
    <w:bookmarkStart w:name="z76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значению "эффективно" (от 106 до 130 (включительно) баллов) – 4 балла,</w:t>
      </w:r>
    </w:p>
    <w:bookmarkEnd w:id="71"/>
    <w:bookmarkStart w:name="z77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значению "превосходно" (свыше 130 баллов) – 5 баллов;</w:t>
      </w:r>
    </w:p>
    <w:bookmarkEnd w:id="7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 работы</w:t>
      </w:r>
    </w:p>
    <w:bookmarkStart w:name="z79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(среднеарифметическое значение).</w:t>
      </w:r>
    </w:p>
    <w:bookmarkEnd w:id="73"/>
    <w:bookmarkStart w:name="z80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33. Итоговая годовая оценка выставляется по следующей шкале: менее 3 баллов – "неудовлетворительно", от 3 до 3,9 баллов – "удовлетворительно", от 4 до 4,9 баллов – "эффективно", 5 баллов – "превосходно". </w:t>
      </w:r>
    </w:p>
    <w:bookmarkEnd w:id="74"/>
    <w:bookmarkStart w:name="z81" w:id="7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6. Рассмотрение результатов оценки Комиссией</w:t>
      </w:r>
    </w:p>
    <w:bookmarkEnd w:id="75"/>
    <w:bookmarkStart w:name="z82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34. Отдел по управлению персоналом обеспечивает проведение заседания Комиссии по рассмотрению результатов оценки в соответствии с графиком, согласованным с председателем Комиссии.</w:t>
      </w:r>
    </w:p>
    <w:bookmarkEnd w:id="76"/>
    <w:bookmarkStart w:name="z83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Отдел по управлению персоналом предоставляет на заседание Комиссии следующие документы:</w:t>
      </w:r>
    </w:p>
    <w:bookmarkEnd w:id="77"/>
    <w:bookmarkStart w:name="z84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заполненные оценочные листы;</w:t>
      </w:r>
    </w:p>
    <w:bookmarkEnd w:id="78"/>
    <w:bookmarkStart w:name="z85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должностная инструкция служащего корпуса "Б";</w:t>
      </w:r>
    </w:p>
    <w:bookmarkEnd w:id="79"/>
    <w:bookmarkStart w:name="z86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проект протокола заседания Комиссии по форме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настоящей Методике.</w:t>
      </w:r>
    </w:p>
    <w:bookmarkEnd w:id="80"/>
    <w:bookmarkStart w:name="z87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35. Комиссия рассматривает результаты квартальных и годовой оценки и принимает одно из следующих решений:</w:t>
      </w:r>
    </w:p>
    <w:bookmarkEnd w:id="81"/>
    <w:bookmarkStart w:name="z88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утвердить результаты оценки;</w:t>
      </w:r>
    </w:p>
    <w:bookmarkEnd w:id="82"/>
    <w:bookmarkStart w:name="z8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пересмотреть результаты оценки.</w:t>
      </w:r>
    </w:p>
    <w:bookmarkEnd w:id="83"/>
    <w:bookmarkStart w:name="z9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принятия решения о пересмотре результатов оценки Комиссия корректирует оценку с соответствующим пояснением в протоколе.</w:t>
      </w:r>
    </w:p>
    <w:bookmarkEnd w:id="84"/>
    <w:bookmarkStart w:name="z9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36. Отдел по управлению персоналом ознакамливает служащего корпуса "Б" с результатами оценки в течение двух рабочих дней со дня ее завершения.</w:t>
      </w:r>
    </w:p>
    <w:bookmarkEnd w:id="85"/>
    <w:bookmarkStart w:name="z92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Ознакомление служащего корпуса "Б" с результатами оценки осуществляется в письменной или электронной форме.</w:t>
      </w:r>
    </w:p>
    <w:bookmarkEnd w:id="86"/>
    <w:bookmarkStart w:name="z93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Отказ служащего корпуса "Б" от ознакомления не является препятствием для внесения результатов оценки в его послужной список. В этом случае работником отдела по управлению персоналом в произвольной форме составляется акт об отказе от ознакомления.</w:t>
      </w:r>
    </w:p>
    <w:bookmarkEnd w:id="87"/>
    <w:bookmarkStart w:name="z94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37. Документы, указанные в </w:t>
      </w:r>
      <w:r>
        <w:rPr>
          <w:rFonts w:ascii="Times New Roman"/>
          <w:b w:val="false"/>
          <w:i w:val="false"/>
          <w:color w:val="000000"/>
          <w:sz w:val="28"/>
        </w:rPr>
        <w:t>пункте 34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настоящей Методики, а также подписанный протокол заседания Комиссии хранятся в отделе по управлению персоналом.</w:t>
      </w:r>
    </w:p>
    <w:bookmarkEnd w:id="88"/>
    <w:bookmarkStart w:name="z95" w:id="8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7. Обжалование результатов оценки</w:t>
      </w:r>
    </w:p>
    <w:bookmarkEnd w:id="89"/>
    <w:bookmarkStart w:name="z96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38. Обжалование решения Комиссии служащим корпуса "Б" в уполномоченном органе по делам государственной службы или его территориальном департаменте осуществляется в течение десяти рабочих дней со дня вынесения решения.</w:t>
      </w:r>
    </w:p>
    <w:bookmarkEnd w:id="90"/>
    <w:bookmarkStart w:name="z97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39. Уполномоченный орган по делам государственной службы или его территориальный департамент в течение десяти рабочих дней со дня поступления жалобы служащего корпуса "Б" осуществляет ее рассмотрение и в случаях обнаружения нарушений установленного законодательством порядка проведения оценки рекомендует государственному органу отменить решение Комиссии.</w:t>
      </w:r>
    </w:p>
    <w:bookmarkEnd w:id="91"/>
    <w:bookmarkStart w:name="z98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40. Информация о принятом решении представляется государственным органом в течение двух недель в уполномоченный орган по делам государственной службы или его территориальный департамент.</w:t>
      </w:r>
    </w:p>
    <w:bookmarkEnd w:id="92"/>
    <w:bookmarkStart w:name="z99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41. Служащий корпуса "Б" вправе обжаловать результаты оценки в суде.</w:t>
      </w:r>
    </w:p>
    <w:bookmarkEnd w:id="93"/>
    <w:bookmarkStart w:name="z100" w:id="9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8. Принятие решений по результатам оценки</w:t>
      </w:r>
    </w:p>
    <w:bookmarkEnd w:id="94"/>
    <w:bookmarkStart w:name="z101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42. Результаты оценки являются основаниями для принятия решений по выплате бонусов и обучению.</w:t>
      </w:r>
    </w:p>
    <w:bookmarkEnd w:id="95"/>
    <w:bookmarkStart w:name="z102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43. Бонусы выплачиваются служащим корпуса "Б" с результатами оценки "превосходно" и "эффективно".</w:t>
      </w:r>
    </w:p>
    <w:bookmarkEnd w:id="96"/>
    <w:bookmarkStart w:name="z103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44. Обучение (повышение квалификации) служащего корпуса "Б" проводится по направлению, по которому деятельность служащего корпуса "Б" по итогам годовой оценки признана неудовлетворительной.</w:t>
      </w:r>
    </w:p>
    <w:bookmarkEnd w:id="97"/>
    <w:bookmarkStart w:name="z104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Служащий корпуса "Б" направляется на курсы повышения квалификации в течение трех месяцев после утверждения Комиссией результатов годовой оценки его деятельности.</w:t>
      </w:r>
    </w:p>
    <w:bookmarkEnd w:id="98"/>
    <w:bookmarkStart w:name="z105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45. Служащий корпуса "Б", получивший оценку "неудовлетворительно", не закрепляется наставником за лицами, впервые принятыми на административные государственные должности.</w:t>
      </w:r>
    </w:p>
    <w:bookmarkEnd w:id="99"/>
    <w:bookmarkStart w:name="z106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46. Результаты оценки служащего корпуса "Б" по итогам двух лет подряд со значением "неудовлетворительно" являются основанием для принятия решения о понижении его в должности. При отсутствии любой вакантной нижестоящей должности служащий корпуса "Б" увольняется в порядке, установленном законодательством.</w:t>
      </w:r>
    </w:p>
    <w:bookmarkEnd w:id="100"/>
    <w:bookmarkStart w:name="z107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47. Результаты оценки деятельности служащих корпуса "Б" вносятся в их послужные списки.</w:t>
      </w:r>
    </w:p>
    <w:bookmarkEnd w:id="10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Курчатов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09" w:id="10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Индивидуальный план работы административного государственного служащего корпуса "Б" местных исполнительных органов города Курчатов Восточно-Казахстанской области</w:t>
      </w:r>
    </w:p>
    <w:bookmarkEnd w:id="102"/>
    <w:bookmarkStart w:name="z110" w:id="10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_________________________________________________год </w:t>
      </w:r>
      <w:r>
        <w:br/>
      </w:r>
      <w:r>
        <w:rPr>
          <w:rFonts w:ascii="Times New Roman"/>
          <w:b/>
          <w:i w:val="false"/>
          <w:color w:val="000000"/>
        </w:rPr>
        <w:t>(период, на который составляется индивидуальный план)</w:t>
      </w:r>
    </w:p>
    <w:bookmarkEnd w:id="103"/>
    <w:bookmarkStart w:name="z111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Фамилия, имя, отчество (при его наличии) служащего) ________________________________</w:t>
      </w:r>
    </w:p>
    <w:bookmarkEnd w:id="104"/>
    <w:bookmarkStart w:name="z112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служащего: ___________________________________________________________</w:t>
      </w:r>
    </w:p>
    <w:bookmarkEnd w:id="105"/>
    <w:bookmarkStart w:name="z113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служащего: _______________________________</w:t>
      </w:r>
    </w:p>
    <w:bookmarkEnd w:id="106"/>
    <w:bookmarkStart w:name="z114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________________________________________________________________________________</w:t>
      </w:r>
    </w:p>
    <w:bookmarkEnd w:id="10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52"/>
        <w:gridCol w:w="5838"/>
        <w:gridCol w:w="2710"/>
      </w:tblGrid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п/п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показатели *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Ожидаемый результат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1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2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3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37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8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Целевой показатель 4</w:t>
            </w:r>
          </w:p>
        </w:tc>
        <w:tc>
          <w:tcPr>
            <w:tcW w:w="2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5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Примечание:</w:t>
      </w:r>
    </w:p>
    <w:bookmarkEnd w:id="108"/>
    <w:bookmarkStart w:name="z116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* Целевые показатели определяются с учетом их направленности на достижение стратегической цели (целей) государственного органа, а в случае ее (их) отсутствия, исходя из функциональных обязанностей служащего. Количество целевых показателей составляет не более четырех, из них не менее половины измеримых.</w:t>
      </w:r>
    </w:p>
    <w:bookmarkEnd w:id="10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943"/>
        <w:gridCol w:w="6357"/>
      </w:tblGrid>
      <w:tr>
        <w:trPr>
          <w:trHeight w:val="30" w:hRule="atLeast"/>
        </w:trPr>
        <w:tc>
          <w:tcPr>
            <w:tcW w:w="59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3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Курчатов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18" w:id="1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0"/>
    <w:bookmarkStart w:name="z119" w:id="1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____________________квартал _____ года </w:t>
      </w:r>
      <w:r>
        <w:br/>
      </w:r>
      <w:r>
        <w:rPr>
          <w:rFonts w:ascii="Times New Roman"/>
          <w:b/>
          <w:i w:val="false"/>
          <w:color w:val="000000"/>
        </w:rPr>
        <w:t>(оцениваемый период)</w:t>
      </w:r>
    </w:p>
    <w:bookmarkEnd w:id="111"/>
    <w:bookmarkStart w:name="z120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12"/>
    <w:bookmarkStart w:name="z121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</w:t>
      </w:r>
    </w:p>
    <w:bookmarkEnd w:id="113"/>
    <w:bookmarkStart w:name="z122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 ___________________________________</w:t>
      </w:r>
    </w:p>
    <w:bookmarkEnd w:id="114"/>
    <w:bookmarkStart w:name="z123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 _______________________________________________________________</w:t>
      </w:r>
    </w:p>
    <w:bookmarkEnd w:id="115"/>
    <w:bookmarkStart w:name="z124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исполнения должностных обязанностей:</w:t>
      </w:r>
    </w:p>
    <w:bookmarkEnd w:id="1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74"/>
        <w:gridCol w:w="1992"/>
        <w:gridCol w:w="1730"/>
        <w:gridCol w:w="1730"/>
        <w:gridCol w:w="1993"/>
        <w:gridCol w:w="1730"/>
        <w:gridCol w:w="1731"/>
        <w:gridCol w:w="420"/>
      </w:tblGrid>
      <w:tr>
        <w:trPr>
          <w:trHeight w:val="30" w:hRule="atLeast"/>
        </w:trPr>
        <w:tc>
          <w:tcPr>
            <w:tcW w:w="97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Самооценка служащего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Оценка непосредственного руководителя</w:t>
            </w:r>
          </w:p>
        </w:tc>
        <w:tc>
          <w:tcPr>
            <w:tcW w:w="42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поощряемых показателях и видах деятельности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исполнительской дисциплины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фактах нарушения трудовой дисциплины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9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самооценки: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оценки:</w:t>
            </w:r>
          </w:p>
        </w:tc>
        <w:tc>
          <w:tcPr>
            <w:tcW w:w="4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Курчатов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26" w:id="11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Оценочный лист</w:t>
      </w:r>
    </w:p>
    <w:bookmarkEnd w:id="117"/>
    <w:bookmarkStart w:name="z127" w:id="1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 год </w:t>
      </w:r>
      <w:r>
        <w:br/>
      </w:r>
      <w:r>
        <w:rPr>
          <w:rFonts w:ascii="Times New Roman"/>
          <w:b/>
          <w:i w:val="false"/>
          <w:color w:val="000000"/>
        </w:rPr>
        <w:t>(оцениваемый год)</w:t>
      </w:r>
    </w:p>
    <w:bookmarkEnd w:id="118"/>
    <w:bookmarkStart w:name="z128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Фамилия, имя, отчество (при его наличии) </w:t>
      </w:r>
    </w:p>
    <w:bookmarkEnd w:id="119"/>
    <w:bookmarkStart w:name="z129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оцениваемого служащего: _________________________________________________________</w:t>
      </w:r>
    </w:p>
    <w:bookmarkEnd w:id="120"/>
    <w:bookmarkStart w:name="z130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Должность оцениваемого служащего:</w:t>
      </w:r>
    </w:p>
    <w:bookmarkEnd w:id="121"/>
    <w:bookmarkStart w:name="z131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_______________________________________________________________________________</w:t>
      </w:r>
    </w:p>
    <w:bookmarkEnd w:id="122"/>
    <w:bookmarkStart w:name="z132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Наименование структурного подразделения оцениваемого служащего:______________________________________________________________________</w:t>
      </w:r>
    </w:p>
    <w:bookmarkEnd w:id="123"/>
    <w:bookmarkStart w:name="z133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Оценка выполнения индивидуального плана:</w:t>
      </w:r>
    </w:p>
    <w:bookmarkEnd w:id="12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50"/>
        <w:gridCol w:w="2929"/>
        <w:gridCol w:w="3817"/>
        <w:gridCol w:w="1597"/>
        <w:gridCol w:w="1597"/>
        <w:gridCol w:w="710"/>
      </w:tblGrid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Значение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самооценки служащего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Результаты оценки руководителя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1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от 2 до 5 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2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3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9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целевого показателя 4</w:t>
            </w:r>
          </w:p>
        </w:tc>
        <w:tc>
          <w:tcPr>
            <w:tcW w:w="3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 2 до 5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50"/>
        <w:gridCol w:w="6550"/>
      </w:tblGrid>
      <w:tr>
        <w:trPr>
          <w:trHeight w:val="30" w:hRule="atLeast"/>
        </w:trPr>
        <w:tc>
          <w:tcPr>
            <w:tcW w:w="5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Служащий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инициалы)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</w:t>
            </w:r>
          </w:p>
        </w:tc>
        <w:tc>
          <w:tcPr>
            <w:tcW w:w="65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Непосредственный руководитель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________________________________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дата 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подпись _________________________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Методике оценки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деятельности административных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государственных служащих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корпуса "Б" государственного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учреждения "Аппарат акима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города Курчатов Восточно-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Казахстанской области",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исполнительных органов,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финансируемых из местного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бюджета</w:t>
            </w:r>
          </w:p>
        </w:tc>
      </w:tr>
    </w:tbl>
    <w:bookmarkStart w:name="z135" w:id="12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 заседания Комиссии по оценке</w:t>
      </w:r>
    </w:p>
    <w:bookmarkEnd w:id="125"/>
    <w:bookmarkStart w:name="z136" w:id="1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(наименование государственного органа)</w:t>
      </w:r>
    </w:p>
    <w:bookmarkEnd w:id="126"/>
    <w:bookmarkStart w:name="z137" w:id="12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__________________________________________________________________ </w:t>
      </w:r>
      <w:r>
        <w:br/>
      </w:r>
      <w:r>
        <w:rPr>
          <w:rFonts w:ascii="Times New Roman"/>
          <w:b/>
          <w:i w:val="false"/>
          <w:color w:val="000000"/>
        </w:rPr>
        <w:t>(вид оценки: квартальная/годовая и оцениваемый период (квартал и (или) год)</w:t>
      </w:r>
    </w:p>
    <w:bookmarkEnd w:id="127"/>
    <w:bookmarkStart w:name="z138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Результаты оценки</w:t>
      </w:r>
    </w:p>
    <w:bookmarkEnd w:id="12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4394"/>
        <w:gridCol w:w="1648"/>
        <w:gridCol w:w="3678"/>
        <w:gridCol w:w="93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 п/п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 служащих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результатах оценки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Корректировка Комиссией результатов оценки (в случае наличия)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Рекомендации Комиссии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4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6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39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Заключение Комиссии:</w:t>
      </w:r>
    </w:p>
    <w:bookmarkEnd w:id="129"/>
    <w:bookmarkStart w:name="z140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30"/>
    <w:bookmarkStart w:name="z141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Проверено:</w:t>
      </w:r>
    </w:p>
    <w:bookmarkEnd w:id="131"/>
    <w:bookmarkStart w:name="z142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Секретарь Комиссии: __________________________ Дата: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32"/>
    <w:bookmarkStart w:name="z143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Председатель Комиссии: _________________________ Дата: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33"/>
    <w:bookmarkStart w:name="z144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Член Комиссии: ____________________________ Дата: 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инициалы, подпись)</w:t>
      </w:r>
    </w:p>
    <w:bookmarkEnd w:id="13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