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90c6c" w14:textId="8e90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Республики Казахстан по вопросам представления отчетности профессиональными участниками рынка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января 2018 года № 5. Зарегистрировано в Министерстве юстиции Республики Казахстан 5 марта 2018 года № 16498.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31 августа 1995 года "</w:t>
      </w:r>
      <w:r>
        <w:rPr>
          <w:rFonts w:ascii="Times New Roman"/>
          <w:b w:val="false"/>
          <w:i w:val="false"/>
          <w:color w:val="000000"/>
          <w:sz w:val="28"/>
        </w:rPr>
        <w:t>О банках и банковской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 июля 2003 года "</w:t>
      </w:r>
      <w:r>
        <w:rPr>
          <w:rFonts w:ascii="Times New Roman"/>
          <w:b w:val="false"/>
          <w:i w:val="false"/>
          <w:color w:val="000000"/>
          <w:sz w:val="28"/>
        </w:rPr>
        <w:t>О рынке ценных бумаг</w:t>
      </w:r>
      <w:r>
        <w:rPr>
          <w:rFonts w:ascii="Times New Roman"/>
          <w:b w:val="false"/>
          <w:i w:val="false"/>
          <w:color w:val="000000"/>
          <w:sz w:val="28"/>
        </w:rPr>
        <w:t>", от 4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регулировании, контроле и надзоре финансового рынка и финансовых организаций</w:t>
      </w:r>
      <w:r>
        <w:rPr>
          <w:rFonts w:ascii="Times New Roman"/>
          <w:b w:val="false"/>
          <w:i w:val="false"/>
          <w:color w:val="000000"/>
          <w:sz w:val="28"/>
        </w:rPr>
        <w:t>", от 19 марта 2010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статистике</w:t>
      </w:r>
      <w:r>
        <w:rPr>
          <w:rFonts w:ascii="Times New Roman"/>
          <w:b w:val="false"/>
          <w:i w:val="false"/>
          <w:color w:val="000000"/>
          <w:sz w:val="28"/>
        </w:rPr>
        <w:t>" и в целях совершенствования нормативных правовых актов Республики Казахстан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нормативных правовых актов Республики Казахстан, в которые вносятся изменения и дополнения по вопросам представления отчетности профессиональными участниками рынка ценных бумаг (далее – Перечень),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исследований и статистики (Тутушкин В.А.)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Курманова Ж.Б.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опубликования, за исключением пункта 4 и абзацев второго, третьего, четвертого, пятого, шестого, седьмого, восьмого, девятого, десятого, двенадцатого и тринадцатого пункта 5 Перечня, которые вводятся в действие с 1 июля 2018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 Н. Айдапкелов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19 февраля 2018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2018 года № 5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Республики Казахстан, в которые вносятся изменения и дополнения по вопросам представления отчетности профессиональными участниками рынка ценных бумаг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Правления Национального Банка РК от 30.07.2018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Правления Национального Банка РК от 27.04.2018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Правления Национального Банка РК от 27.04.2018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Правления Национального Банка РК от 28.11.2019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End w:id="12"/>
    <w:bookmarkStart w:name="z9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декабря 2016 года № 309 "Об установлении нормативных значений и методики расчетов пруденциальных нормативов и иных обязательных к соблюдению норм и лимитов размера капитала банковского конгломерата на определенную дату, перечня, форм, сроков представления отчетности о выполнении пруденциальных нормативов банковским конгломератом, а также Правил представления отчетности о выполнении пруденциальных нормативов банковским конгломератом" (зарегистрированное в Реестре государственной регистрации нормативных правовых актов под № 14790, опубликованное 23 февраля 2017 года в Эталонном контрольном банке нормативных правовых актов Республики Казахстан) следующее изменение:</w:t>
      </w:r>
    </w:p>
    <w:bookmarkEnd w:id="13"/>
    <w:bookmarkStart w:name="z9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по сбору сведений по внутригрупповым сделкам банковского конгломерата, заключенным в течение отчетного периода, а также действующим по состоянию на отчетную дату,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профессиональными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участниками рынка ценных бумаг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2013 года № 230</w:t>
            </w:r>
          </w:p>
        </w:tc>
      </w:tr>
    </w:tbl>
    <w:bookmarkStart w:name="z9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5"/>
    <w:bookmarkStart w:name="z9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ценных бумагах, приобретенных за счет собственных активов</w:t>
      </w:r>
    </w:p>
    <w:bookmarkEnd w:id="16"/>
    <w:bookmarkStart w:name="z9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на "___" ________20__года</w:t>
      </w:r>
    </w:p>
    <w:bookmarkEnd w:id="17"/>
    <w:bookmarkStart w:name="z9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 RCB_CBSA</w:t>
      </w:r>
    </w:p>
    <w:bookmarkEnd w:id="18"/>
    <w:bookmarkStart w:name="z9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19"/>
    <w:bookmarkStart w:name="z9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управляющие инвестиционным портфелем; брокеры и (или) дилеры</w:t>
      </w:r>
    </w:p>
    <w:bookmarkEnd w:id="20"/>
    <w:bookmarkStart w:name="z10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21"/>
    <w:bookmarkStart w:name="z10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ежемесячно, не позднее пятого рабочего дня месяца, следующего за отчетным месяцем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организации)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4"/>
        <w:gridCol w:w="2380"/>
        <w:gridCol w:w="808"/>
        <w:gridCol w:w="808"/>
        <w:gridCol w:w="1707"/>
        <w:gridCol w:w="808"/>
        <w:gridCol w:w="1257"/>
        <w:gridCol w:w="2158"/>
      </w:tblGrid>
      <w:tr>
        <w:trPr>
          <w:trHeight w:val="30" w:hRule="atLeast"/>
        </w:trPr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4"/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</w:t>
            </w:r>
          </w:p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эмитента</w:t>
            </w:r>
          </w:p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ценной бумаги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идентификационный номер или международный идентификационный номер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ценных бумаг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обремененные ценные бумаги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обремененные ценные бумаги, всего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ценные бумаги, переданные в репо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27"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8"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эмиссионные ценные бумаги организаций Республики Казахстан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30"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банков второго уровня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</w:t>
            </w:r>
          </w:p>
          <w:bookmarkEnd w:id="31"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32"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33"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юридических лиц, за исключением банков второго уровня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2.2.1.</w:t>
            </w:r>
          </w:p>
          <w:bookmarkEnd w:id="34"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35"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иностранных государств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  <w:bookmarkEnd w:id="37"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38"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ценные бумаги эмитентов нерезидентов Республики Казахстан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  <w:bookmarkEnd w:id="40"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41"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"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международных финансовых организаций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</w:t>
            </w:r>
          </w:p>
          <w:bookmarkEnd w:id="43"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44"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5"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инвестиционных фондов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</w:t>
            </w:r>
          </w:p>
          <w:bookmarkEnd w:id="46"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47"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"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1206"/>
        <w:gridCol w:w="840"/>
        <w:gridCol w:w="475"/>
        <w:gridCol w:w="840"/>
        <w:gridCol w:w="292"/>
        <w:gridCol w:w="841"/>
        <w:gridCol w:w="658"/>
        <w:gridCol w:w="1021"/>
        <w:gridCol w:w="1021"/>
        <w:gridCol w:w="1021"/>
        <w:gridCol w:w="1021"/>
        <w:gridCol w:w="1022"/>
        <w:gridCol w:w="1022"/>
      </w:tblGrid>
      <w:tr>
        <w:trPr>
          <w:trHeight w:val="30" w:hRule="atLeast"/>
        </w:trPr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приобретения ценной бумаги</w:t>
            </w:r>
          </w:p>
          <w:bookmarkEnd w:id="50"/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покупки за одну ценную бумагу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Покупная стоимость ценных бумаг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стоимость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</w:t>
            </w:r>
          </w:p>
        </w:tc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погашения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одной ценной бумаги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51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7"/>
        <w:gridCol w:w="1363"/>
        <w:gridCol w:w="1363"/>
        <w:gridCol w:w="1363"/>
        <w:gridCol w:w="1367"/>
        <w:gridCol w:w="2344"/>
        <w:gridCol w:w="1528"/>
        <w:gridCol w:w="136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 ценных бумаг</w:t>
            </w:r>
          </w:p>
          <w:bookmarkEnd w:id="53"/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Учетная категория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54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/ премия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положительная/ отрицательная корректировка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обремененные ценные бумаги, всего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ценные бумаги, переданные в репо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сформированные резервы (провизии)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5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…</w:t>
            </w:r>
          </w:p>
          <w:bookmarkEnd w:id="56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9"/>
        <w:gridCol w:w="1360"/>
        <w:gridCol w:w="2116"/>
        <w:gridCol w:w="2111"/>
        <w:gridCol w:w="2112"/>
        <w:gridCol w:w="211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</w:t>
            </w:r>
          </w:p>
          <w:bookmarkEnd w:id="58"/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купонная ставка в портфеле</w:t>
            </w:r>
          </w:p>
        </w:tc>
      </w:tr>
      <w:tr>
        <w:trPr/>
        <w:tc>
          <w:tcPr>
            <w:tcW w:w="2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 постановки на учет</w:t>
            </w:r>
          </w:p>
          <w:bookmarkEnd w:id="59"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отчетную дату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 </w:t>
            </w:r>
          </w:p>
          <w:bookmarkEnd w:id="6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или лицо, уполномоченное им на подписание отчета</w:t>
      </w:r>
    </w:p>
    <w:bookmarkEnd w:id="61"/>
    <w:bookmarkStart w:name="z14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            ____________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                  подпись</w:t>
      </w:r>
    </w:p>
    <w:bookmarkStart w:name="z14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или лицо, уполномоченное им на подписание отчета</w:t>
      </w:r>
    </w:p>
    <w:bookmarkEnd w:id="63"/>
    <w:bookmarkStart w:name="z15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            ____________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                  подпись</w:t>
      </w:r>
    </w:p>
    <w:bookmarkStart w:name="z15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       ____________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                  подпись</w:t>
      </w:r>
    </w:p>
    <w:bookmarkStart w:name="z15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_________________________</w:t>
      </w:r>
    </w:p>
    <w:bookmarkEnd w:id="66"/>
    <w:bookmarkStart w:name="z15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 __________20___года</w:t>
      </w:r>
    </w:p>
    <w:bookmarkEnd w:id="67"/>
    <w:bookmarkStart w:name="z15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(при наличии)</w:t>
      </w:r>
    </w:p>
    <w:bookmarkEnd w:id="68"/>
    <w:bookmarkStart w:name="z15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бумагах, приобретенных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собственных активов</w:t>
            </w:r>
          </w:p>
        </w:tc>
      </w:tr>
    </w:tbl>
    <w:bookmarkStart w:name="z15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70"/>
    <w:bookmarkStart w:name="z15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ценных бумагах, приобретенных за счет собственных активов</w:t>
      </w:r>
    </w:p>
    <w:bookmarkEnd w:id="71"/>
    <w:bookmarkStart w:name="z15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2"/>
    <w:bookmarkStart w:name="z16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 "Отчет о ценных бумагах, приобретенных за счет собственных активов" (далее – Форма).</w:t>
      </w:r>
    </w:p>
    <w:bookmarkEnd w:id="73"/>
    <w:bookmarkStart w:name="z16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4 июля 2003 года "О государственном регулировании, контроле и надзоре финансового рынка и финансовых организаций".</w:t>
      </w:r>
    </w:p>
    <w:bookmarkEnd w:id="74"/>
    <w:bookmarkStart w:name="z16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управляющим инвестиционным портфелем, брокером и (или) дилером по состоянию на конец отчетного периода. 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bookmarkEnd w:id="75"/>
    <w:bookmarkStart w:name="z16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первый руководитель, главный бухгалтер или лица, уполномоченные ими на подписание отчета, и исполнитель.</w:t>
      </w:r>
    </w:p>
    <w:bookmarkEnd w:id="76"/>
    <w:bookmarkStart w:name="z16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77"/>
    <w:bookmarkStart w:name="z16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графах 2 и 3 указывается наименование эмитента ценной бумаги и страна его резидентства. </w:t>
      </w:r>
    </w:p>
    <w:bookmarkEnd w:id="78"/>
    <w:bookmarkStart w:name="z16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4 указывается вид приобретенной ценной бумаги с указанием ее типа.</w:t>
      </w:r>
    </w:p>
    <w:bookmarkEnd w:id="79"/>
    <w:bookmarkStart w:name="z16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графе 5 указывается национальный идентификационный номер (в отношении иностранных ценных бумаг – международный идентификационный номер (ISIN), в отношении прав требований по обязательствам эмитента по эмиссионным ценным бумагам, срок обращения которых истек, и эмитентом не исполнены обязательства по их погашению – идентификатор прав требования). </w:t>
      </w:r>
    </w:p>
    <w:bookmarkEnd w:id="80"/>
    <w:bookmarkStart w:name="z16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графе 6 указывается количество приобретенных ценных бумаг в штуках. Долговые финансовые инструменты указываются в штуках с учетом номинальной стоимости одной ценной бумаги. </w:t>
      </w:r>
    </w:p>
    <w:bookmarkEnd w:id="81"/>
    <w:bookmarkStart w:name="z16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7 указывается количество обремененных ценных бумаг на отчетную дату.</w:t>
      </w:r>
    </w:p>
    <w:bookmarkEnd w:id="82"/>
    <w:bookmarkStart w:name="z17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8 указывается количество обремененных ценных бумаг, переданных в репо на отчетную дату.</w:t>
      </w:r>
    </w:p>
    <w:bookmarkEnd w:id="83"/>
    <w:bookmarkStart w:name="z17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графах 9 и 14 коды валют указываются в соответствии с национальным классификатором Республики Казахстан НК РК 07 ISO 4217-2012 "Коды для обозначения валют и фондов". </w:t>
      </w:r>
    </w:p>
    <w:bookmarkEnd w:id="84"/>
    <w:bookmarkStart w:name="z17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10 указывается цена, отраженная в первичном документе, который подтверждает осуществление сделки (биржевое свидетельство, отчет брокера и (или) дилера, подтверждение, полученное по международной межбанковской системе перевода информации и совершения платежей (SWIFT)), в тенге. В случае оплаты приобретения ценной бумаги в иностранной валюте данная сумма отражается по рыночному курсу обмена валют, сложившемуся на дату совершения сделки.</w:t>
      </w:r>
    </w:p>
    <w:bookmarkEnd w:id="85"/>
    <w:bookmarkStart w:name="z17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11 указывается дата первоначального признания в бухгалтерском учете.</w:t>
      </w:r>
    </w:p>
    <w:bookmarkEnd w:id="86"/>
    <w:bookmarkStart w:name="z17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12 указывается дата погашения долговых ценных бумаг.</w:t>
      </w:r>
    </w:p>
    <w:bookmarkEnd w:id="87"/>
    <w:bookmarkStart w:name="z17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13 указывается покупная стоимость ценных бумаг, включая расходы, непосредственно связанные с приобретением, включая вознаграждения и комиссионные, уплаченные агентам, консультантам, брокерам (дилерам), сборы фондовых бирж, а также банковские услуги по переводу, и уменьшенная на величину оплаченного покупателем продавцу процента (при наличии такового).</w:t>
      </w:r>
    </w:p>
    <w:bookmarkEnd w:id="88"/>
    <w:bookmarkStart w:name="z17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Графы 14 и 15 заполняются по долговым ценным бумагам. В графе 15 указывается денежное выражение стоимости облигации, определенное при ее выпуске, на которую начисляется выраженное в процентах вознаграждение по купонной облигации, а также сумма, подлежащая выплате держателю облигации при ее погашении. Сумма указывается в валюте выпуска.</w:t>
      </w:r>
    </w:p>
    <w:bookmarkEnd w:id="89"/>
    <w:bookmarkStart w:name="z17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16 указывается стоимость ценных бумаг, отраженная в бухгалтерском учете.</w:t>
      </w:r>
    </w:p>
    <w:bookmarkEnd w:id="90"/>
    <w:bookmarkStart w:name="z17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17 указывается неамортизированная часть дисконта (со знаком минус) или премии (в абсолютном выражении).</w:t>
      </w:r>
    </w:p>
    <w:bookmarkEnd w:id="91"/>
    <w:bookmarkStart w:name="z17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18 указывается начисленные, но не полученные вознаграждения, при заполнении данной графы по долговым ценным бумагам - указывается купон, по акциям указываются дивиденды.</w:t>
      </w:r>
    </w:p>
    <w:bookmarkEnd w:id="92"/>
    <w:bookmarkStart w:name="z18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19 указывается положительная или отрицательная корректировка.</w:t>
      </w:r>
    </w:p>
    <w:bookmarkEnd w:id="93"/>
    <w:bookmarkStart w:name="z18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20 указывается стоимость обремененных ценных бумаг, указанная в бухгалтерском учете.</w:t>
      </w:r>
    </w:p>
    <w:bookmarkEnd w:id="94"/>
    <w:bookmarkStart w:name="z18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21 указывается стоимость ценных бумаг, обремененных договорами репо, указанная в бухгалтерском учете.</w:t>
      </w:r>
    </w:p>
    <w:bookmarkEnd w:id="95"/>
    <w:bookmarkStart w:name="z18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22 указывается размер резервов (провизий), сформированных в соответствии с международными стандартами финансовой отчетности. Размер резервов (провизий) указывается в абсолютном выражении.</w:t>
      </w:r>
    </w:p>
    <w:bookmarkEnd w:id="96"/>
    <w:bookmarkStart w:name="z18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23 указывается категория ценной бумаги "учитываемые по справедливой стоимости через прочий совокупный доход", "учитываемые по справедливой стоимости через прибыль или убыток" или "учитываемые по амортизированной стоимости".</w:t>
      </w:r>
    </w:p>
    <w:bookmarkEnd w:id="97"/>
    <w:bookmarkStart w:name="z18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заполнении граф 24 и 25 указывается рейтинг ценной бумаги по облигациям, рейтинг эмитента по акциям, рейтинг страны по государственным ценным бумагам, присвоенный одним из рейтинговых агентств,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Национального Банка Республики Казахстан от 24 декабря 2012 года № 385 "Об установлении минимального рейтинга для юридических лиц и стран,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перечня рейтинговых агентств, присваивающих данный рейтинг", зарегистрированного в Реестре государственной регистрации нормативных правовых актов № 8318. При отсутствии рейтинга в графах 24 и 25 указывается "нет рейтинга". Данные графы не заполняются по государственным ценным бумагам Республики Казахстан.</w:t>
      </w:r>
    </w:p>
    <w:bookmarkEnd w:id="98"/>
    <w:bookmarkStart w:name="z18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26 указывается купонная ставка по долговым финансовым инструментам на дату представления Формы.</w:t>
      </w:r>
    </w:p>
    <w:bookmarkEnd w:id="99"/>
    <w:bookmarkStart w:name="z18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отсутствия сведений Форма представляется с нулевыми остатками.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представления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профессиональными 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ценных бумаг</w:t>
            </w:r>
          </w:p>
        </w:tc>
      </w:tr>
    </w:tbl>
    <w:bookmarkStart w:name="z19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списке держателей акций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профессиональными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участниками рынка ценных бумаг</w:t>
            </w:r>
          </w:p>
        </w:tc>
      </w:tr>
    </w:tbl>
    <w:bookmarkStart w:name="z28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операциях с государственными ценными бумагами Республики Казахстан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дополнения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профессиональными 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ценных бумаг</w:t>
            </w:r>
          </w:p>
        </w:tc>
      </w:tr>
    </w:tbl>
    <w:bookmarkStart w:name="z33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ценных бумагах, приобретенных за счет собственных активов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дополнения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профессиональными 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ценных бумаг</w:t>
            </w:r>
          </w:p>
        </w:tc>
      </w:tr>
    </w:tbl>
    <w:bookmarkStart w:name="z41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операциях по переводу финансовых инструментов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представления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профессиональными 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ценных бумаг</w:t>
            </w:r>
          </w:p>
        </w:tc>
      </w:tr>
    </w:tbl>
    <w:bookmarkStart w:name="z47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реестре держателей акций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представления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профессиональными 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ценных бумаг</w:t>
            </w:r>
          </w:p>
        </w:tc>
      </w:tr>
    </w:tbl>
    <w:bookmarkStart w:name="z56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заявках на покупку/продажу ценных бумаг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утратило силу постановлением Правления Национального Банка РК от 28.11.2019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дополнения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профессиональными 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ценных бумаг</w:t>
            </w:r>
          </w:p>
        </w:tc>
      </w:tr>
    </w:tbl>
    <w:bookmarkStart w:name="z621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результатах торгов ценными бумагами с указанием сторон сделок 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утратило силу постановлением Правления Национального Банка РК от 28.11.2019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дополнения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профессиональными 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ценных бумаг</w:t>
            </w:r>
          </w:p>
        </w:tc>
      </w:tr>
    </w:tbl>
    <w:bookmarkStart w:name="z67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заявках на операции репо с ценными бумагами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утратило силу постановлением Правления Национального Банка РК от 28.11.2019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представления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профессиональными 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ценных бумаг</w:t>
            </w:r>
          </w:p>
        </w:tc>
      </w:tr>
    </w:tbl>
    <w:bookmarkStart w:name="z73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операциях репо с ценными бумагами с указанием их участников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утратило силу постановлением Правления Национального Банка РК от 28.11.2019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дополнения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профессиональными 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ценных бумаг</w:t>
            </w:r>
          </w:p>
        </w:tc>
      </w:tr>
    </w:tbl>
    <w:bookmarkStart w:name="z78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заявках на покупку/продажу производных финансовых инструментов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утратило силу постановлением Правления Национального Банка РК от 28.11.2019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представления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профессиональными 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ценных бумаг</w:t>
            </w:r>
          </w:p>
        </w:tc>
      </w:tr>
    </w:tbl>
    <w:bookmarkStart w:name="z83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результатах торгов производными финансовыми инструментами с указанием сторон сделок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утратило силу постановлением Правления Национального Банка РК от 28.11.2019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представления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профессиональными 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ценных бумаг</w:t>
            </w:r>
          </w:p>
        </w:tc>
      </w:tr>
    </w:tbl>
    <w:bookmarkStart w:name="z88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заявках на покупку/продажу иностранных валют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утратило силу постановлением Правления Национального Банка РК от 28.11.2019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представления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профессиональными 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ценных бумаг</w:t>
            </w:r>
          </w:p>
        </w:tc>
      </w:tr>
    </w:tbl>
    <w:bookmarkStart w:name="z93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результатах торгов иностранными валютами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утратило силу постановлением Правления Национального Банка РК от 28.11.2019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представления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профессиональными 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ценных бумаг</w:t>
            </w:r>
          </w:p>
        </w:tc>
      </w:tr>
    </w:tbl>
    <w:bookmarkStart w:name="z988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объемах сделок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утратило силу постановлением Правления Национального Банка РК от 28.11.2019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представления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профессиональными 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ценных бумаг</w:t>
            </w:r>
          </w:p>
        </w:tc>
      </w:tr>
    </w:tbl>
    <w:bookmarkStart w:name="z103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капитализации рынка ценных бумаг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утратило силу постановлением Правления Национального Банка РК от 28.11.2019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представления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профессиональными 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ценных бумаг</w:t>
            </w:r>
          </w:p>
        </w:tc>
      </w:tr>
    </w:tbl>
    <w:bookmarkStart w:name="z1077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совершенных сделках по инвестированию собственных активов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утратило силу постановлением Правления Национального Банка РК от 28.11.2019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представления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профессиональными 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ценных бумаг</w:t>
            </w:r>
          </w:p>
        </w:tc>
      </w:tr>
    </w:tbl>
    <w:bookmarkStart w:name="z112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ценных бумагах, приобретенных за счет собственных активов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утратило силу постановлением Правления Национального Банка РК от 28.11.2019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представления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профессиональными 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ценных бумаг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309</w:t>
            </w:r>
          </w:p>
        </w:tc>
      </w:tr>
    </w:tbl>
    <w:bookmarkStart w:name="z1210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18"/>
    <w:bookmarkStart w:name="z1211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сбору сведений по внутригрупповым сделкам банковского конгломерата, заключенным в течение отчетного периода, а также действующим по состоянию на отчетную дату</w:t>
      </w:r>
    </w:p>
    <w:bookmarkEnd w:id="119"/>
    <w:bookmarkStart w:name="z1212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по состоянию на "___" ____________ 20__ года</w:t>
      </w:r>
    </w:p>
    <w:bookmarkEnd w:id="120"/>
    <w:bookmarkStart w:name="z121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5-BK_RIGT</w:t>
      </w:r>
    </w:p>
    <w:bookmarkEnd w:id="121"/>
    <w:bookmarkStart w:name="z121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 (ежегодная)</w:t>
      </w:r>
    </w:p>
    <w:bookmarkEnd w:id="122"/>
    <w:bookmarkStart w:name="z121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банковский холдинг или банк, имеющий дочернюю организацию, но не имеющий банковского холдинга</w:t>
      </w:r>
    </w:p>
    <w:bookmarkEnd w:id="123"/>
    <w:bookmarkStart w:name="z121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124"/>
    <w:bookmarkStart w:name="z121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представления: </w:t>
      </w:r>
    </w:p>
    <w:bookmarkEnd w:id="125"/>
    <w:bookmarkStart w:name="z121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ежеквартально (за исключением четвертого квартала), в течение 90 (девяноста) календарных дней, следующих за отчетным кварталом;</w:t>
      </w:r>
    </w:p>
    <w:bookmarkEnd w:id="126"/>
    <w:bookmarkStart w:name="z121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ежегодно, в течение 120 (ста двадцати) календарных дней по окончании финансового года.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2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(банковский холдинг или банк, имеющий дочернюю организацию,  но не имеющий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банковского холдинга)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1244"/>
        <w:gridCol w:w="3661"/>
        <w:gridCol w:w="1244"/>
        <w:gridCol w:w="3662"/>
        <w:gridCol w:w="1245"/>
      </w:tblGrid>
      <w:tr>
        <w:trPr>
          <w:trHeight w:val="30" w:hRule="atLeast"/>
        </w:trPr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 банковского конгломерата (сторона 1 по внутригрупповой сделке)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 банковского конгломерата (сторона 2 по внутригрупповой сделке)</w:t>
            </w:r>
          </w:p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сделки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- идентификационный номер (при наличии)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- идентификационный номер (при наличии)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  <w:bookmarkEnd w:id="131"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  <w:bookmarkEnd w:id="133"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на внебалансовых счетах</w:t>
            </w:r>
          </w:p>
          <w:bookmarkEnd w:id="134"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"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  <w:bookmarkEnd w:id="136"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  <w:bookmarkEnd w:id="137"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  <w:bookmarkEnd w:id="139"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3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2"/>
        <w:gridCol w:w="1403"/>
        <w:gridCol w:w="1403"/>
        <w:gridCol w:w="2177"/>
        <w:gridCol w:w="2177"/>
        <w:gridCol w:w="217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сделки (в тысячах тенге)</w:t>
            </w:r>
          </w:p>
          <w:bookmarkEnd w:id="141"/>
        </w:tc>
      </w:tr>
      <w:tr>
        <w:trPr>
          <w:trHeight w:val="30" w:hRule="atLeast"/>
        </w:trPr>
        <w:tc>
          <w:tcPr>
            <w:tcW w:w="2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Обороты, проведенные в течение отчетного квартала</w:t>
            </w:r>
          </w:p>
          <w:bookmarkEnd w:id="14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требований на конец отчетного квартала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Дисконты, премии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Положительные/ отрицательные корректировки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</w:t>
            </w:r>
          </w:p>
        </w:tc>
      </w:tr>
      <w:tr>
        <w:trPr>
          <w:trHeight w:val="30" w:hRule="atLeast"/>
        </w:trPr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3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4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7"/>
        <w:gridCol w:w="1004"/>
        <w:gridCol w:w="2864"/>
        <w:gridCol w:w="446"/>
        <w:gridCol w:w="1559"/>
        <w:gridCol w:w="1560"/>
        <w:gridCol w:w="1560"/>
        <w:gridCol w:w="1560"/>
      </w:tblGrid>
      <w:tr>
        <w:trPr/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 по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 годовых)</w:t>
            </w:r>
          </w:p>
          <w:bookmarkEnd w:id="146"/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договора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договора (с учетом пролонгаций)</w:t>
            </w:r>
          </w:p>
        </w:tc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7"/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4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сумма производных финансовых инструментов, учитываемых как произведение номинальной стоимости указанных финансовых инструментов на коэффициент кредитного риска, в соответствии с Таблицей коэффициентов кредитного риска для производных финансовых инструментов приложения 7 к Нормативным значениям и методикам расчетов пруденциальных нормативов и иных обязательных к соблюдению норм и лимитов размера капитала банка на определенную дату,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13 сентября 2017 года № 170 "Об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позиции", зарегистрированным в Реестре государственной регистрации нормативных правовых актов под № 15886, и определяемых сроком погашения указанных финансовых инструментов по состоянию на "__"_____20__года составляет _________________тысяч тенге.</w:t>
      </w:r>
    </w:p>
    <w:bookmarkEnd w:id="149"/>
    <w:bookmarkStart w:name="z124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или лицо, уполномоченное им на подписание отчета</w:t>
      </w:r>
    </w:p>
    <w:bookmarkEnd w:id="150"/>
    <w:bookmarkStart w:name="z124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            ____________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фамилия, имя, отчество (при его наличии)                   подпись</w:t>
      </w:r>
    </w:p>
    <w:bookmarkStart w:name="z124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или лицо, уполномоченное им на подписание отчета</w:t>
      </w:r>
    </w:p>
    <w:bookmarkEnd w:id="152"/>
    <w:bookmarkStart w:name="z124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            ____________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фамилия, имя, отчество (при его наличии)                   подпись</w:t>
      </w:r>
    </w:p>
    <w:bookmarkStart w:name="z124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       __________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фамилия, имя, отчество (при его наличии)                   подпись</w:t>
      </w:r>
    </w:p>
    <w:bookmarkStart w:name="z125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телефона: _________________________ </w:t>
      </w:r>
    </w:p>
    <w:bookmarkEnd w:id="155"/>
    <w:bookmarkStart w:name="z125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 __________20___года</w:t>
      </w:r>
    </w:p>
    <w:bookmarkEnd w:id="156"/>
    <w:bookmarkStart w:name="z125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(при наличии)</w:t>
      </w:r>
    </w:p>
    <w:bookmarkEnd w:id="157"/>
    <w:bookmarkStart w:name="z125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по сбору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внутригрупповым сделкам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банковского конгломерата,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заключенным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состоянию на отчетную дату</w:t>
            </w:r>
          </w:p>
        </w:tc>
      </w:tr>
    </w:tbl>
    <w:bookmarkStart w:name="z1255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59"/>
    <w:bookmarkStart w:name="z1256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сбору сведений по внутригрупповым сделки банковского конгломерата, заключенным в течение отчетного периода, а также действующим по состоянию на отчетную дату</w:t>
      </w:r>
    </w:p>
    <w:bookmarkEnd w:id="160"/>
    <w:bookmarkStart w:name="z1257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1"/>
    <w:bookmarkStart w:name="z125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 "Отчет по сбору сведений по внутригрупповым сделкам банковского конгломерата, заключенным в течение отчетного периода, а также действующим по состоянию на отчетную дату" (далее – Форма).</w:t>
      </w:r>
    </w:p>
    <w:bookmarkEnd w:id="162"/>
    <w:bookmarkStart w:name="z125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Закона Республики Казахстан от 31 августа 1995 года "О банках и банковской деятельности в Республике Казахстан" и подпунктом 6) пункта 1 статьи 9 Закона Республики Казахстан от 4 июля 2003 года "О государственном регулировании, контроле и надзоре финансового рынка и финансовых организаций".</w:t>
      </w:r>
    </w:p>
    <w:bookmarkEnd w:id="163"/>
    <w:bookmarkStart w:name="z126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банковским холдингом или банком, имеющим дочернюю организацию, но не имеющим банковского холдинга, за исключением нерезидентов Республики Казахстан, представляется ежеквартально (за исключением четвертого квартала) в течение 90 (девяноста) календарных дней, следующих за отчетным кварталом и ежегодно в течение 120 (ста двадцати) календарных дней по окончании финансового года.</w:t>
      </w:r>
    </w:p>
    <w:bookmarkEnd w:id="164"/>
    <w:bookmarkStart w:name="z126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Данные в Форме заполняются в тысячах тенге.</w:t>
      </w:r>
    </w:p>
    <w:bookmarkEnd w:id="165"/>
    <w:bookmarkStart w:name="z126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подписывают первый руководитель, главный бухгалтер или лица, уполномоченные ими на подписание отчета, и исполнитель.</w:t>
      </w:r>
    </w:p>
    <w:bookmarkEnd w:id="166"/>
    <w:bookmarkStart w:name="z126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67"/>
    <w:bookmarkStart w:name="z126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Форме отражаются сведения по всем внутригрупповым сделкам банковского конгломерата (далее – сделка), за исключением сделок, указанных в приложениях 5 и 6 к Нормативным значениям и методике расчетов пруденциальных нормативов и иных обязательных к соблюдению норм и лимитов размера капитала банковского конгломерата, утвержденным настоящим постановлением.</w:t>
      </w:r>
    </w:p>
    <w:bookmarkEnd w:id="168"/>
    <w:bookmarkStart w:name="z126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Форме сделка подлежит отражению один раз по показателю "Активы" и "Требования на внебалансовых счетах".</w:t>
      </w:r>
    </w:p>
    <w:bookmarkEnd w:id="169"/>
    <w:bookmarkStart w:name="z126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Если сделка предусматривает участие нескольких участников банковского конгломерата, в Форме указывается участник банковского конгломерата (сторона 1 по сделке), от которого начинается движение денег и конечный участник банковского конгломерата (сторона 2 по сделке).</w:t>
      </w:r>
    </w:p>
    <w:bookmarkEnd w:id="170"/>
    <w:bookmarkStart w:name="z126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графе 16 необходимо указать промежуточных участников банковского конгломерата (при наличии) и цель их участия в сделке.</w:t>
      </w:r>
    </w:p>
    <w:bookmarkEnd w:id="171"/>
    <w:bookmarkStart w:name="z126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заполнения граф 6 и 7 приводятся следующие виды операций и показателей:</w:t>
      </w:r>
    </w:p>
    <w:bookmarkEnd w:id="172"/>
    <w:bookmarkStart w:name="z126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активы (показатель):</w:t>
      </w:r>
    </w:p>
    <w:bookmarkEnd w:id="173"/>
    <w:bookmarkStart w:name="z127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займов (овердрафта, финансового лизинга, учет векселей, факторинг, форфейтинг);</w:t>
      </w:r>
    </w:p>
    <w:bookmarkEnd w:id="174"/>
    <w:bookmarkStart w:name="z127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субординированных займов;</w:t>
      </w:r>
    </w:p>
    <w:bookmarkEnd w:id="175"/>
    <w:bookmarkStart w:name="z127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обратное репо с ценными бумагами;</w:t>
      </w:r>
    </w:p>
    <w:bookmarkEnd w:id="176"/>
    <w:bookmarkStart w:name="z127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 (наличие) текущего счета;</w:t>
      </w:r>
    </w:p>
    <w:bookmarkEnd w:id="177"/>
    <w:bookmarkStart w:name="z127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 (наличие) корреспондентского счета;</w:t>
      </w:r>
    </w:p>
    <w:bookmarkEnd w:id="178"/>
    <w:bookmarkStart w:name="z127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вклада;</w:t>
      </w:r>
    </w:p>
    <w:bookmarkEnd w:id="179"/>
    <w:bookmarkStart w:name="z127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движимого (недвижимого имущества);</w:t>
      </w:r>
    </w:p>
    <w:bookmarkEnd w:id="180"/>
    <w:bookmarkStart w:name="z127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(секьюритизация) активов (займов, дебиторской задолженности);</w:t>
      </w:r>
    </w:p>
    <w:bookmarkEnd w:id="181"/>
    <w:bookmarkStart w:name="z127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уступка прав требований;</w:t>
      </w:r>
    </w:p>
    <w:bookmarkEnd w:id="182"/>
    <w:bookmarkStart w:name="z127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имущества и активов организации, осуществляющей управление сомнительными активами;</w:t>
      </w:r>
    </w:p>
    <w:bookmarkEnd w:id="183"/>
    <w:bookmarkStart w:name="z128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начисление дивидендов;</w:t>
      </w:r>
    </w:p>
    <w:bookmarkEnd w:id="184"/>
    <w:bookmarkStart w:name="z128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начисление комиссионного дохода;</w:t>
      </w:r>
    </w:p>
    <w:bookmarkEnd w:id="185"/>
    <w:bookmarkStart w:name="z128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дебиторская задолженность;</w:t>
      </w:r>
    </w:p>
    <w:bookmarkEnd w:id="186"/>
    <w:bookmarkStart w:name="z128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 производным финансовым инструментам;</w:t>
      </w:r>
    </w:p>
    <w:bookmarkEnd w:id="187"/>
    <w:bookmarkStart w:name="z128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 дилинговым операциям;</w:t>
      </w:r>
    </w:p>
    <w:bookmarkEnd w:id="188"/>
    <w:bookmarkStart w:name="z128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страховые активы;</w:t>
      </w:r>
    </w:p>
    <w:bookmarkEnd w:id="189"/>
    <w:bookmarkStart w:name="z128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активы (вид операции указывается в графе 16);</w:t>
      </w:r>
    </w:p>
    <w:bookmarkEnd w:id="190"/>
    <w:bookmarkStart w:name="z128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на внебалансовых счетах (показатель):</w:t>
      </w:r>
    </w:p>
    <w:bookmarkEnd w:id="191"/>
    <w:bookmarkStart w:name="z128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гарантий;</w:t>
      </w:r>
    </w:p>
    <w:bookmarkEnd w:id="192"/>
    <w:bookmarkStart w:name="z128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 аккредитива;</w:t>
      </w:r>
    </w:p>
    <w:bookmarkEnd w:id="193"/>
    <w:bookmarkStart w:name="z129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 отзывной кредитной линии;</w:t>
      </w:r>
    </w:p>
    <w:bookmarkEnd w:id="194"/>
    <w:bookmarkStart w:name="z129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 безотзывной кредитной линии;</w:t>
      </w:r>
    </w:p>
    <w:bookmarkEnd w:id="195"/>
    <w:bookmarkStart w:name="z129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производные финансовые инструменты;</w:t>
      </w:r>
    </w:p>
    <w:bookmarkEnd w:id="196"/>
    <w:bookmarkStart w:name="z129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дилинговые операции;</w:t>
      </w:r>
    </w:p>
    <w:bookmarkEnd w:id="197"/>
    <w:bookmarkStart w:name="z129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страхование финансовых убытков (указывается страховая сумма по договору страхования). Данный вид операции включает классы страхования, предусмотренные подпунктами 13), 14), 15) и 16) пункта 3 статьи 6 Закона Республики Казахстан от 18 декабря 2000 года "О страховой деятельности";</w:t>
      </w:r>
    </w:p>
    <w:bookmarkEnd w:id="198"/>
    <w:bookmarkStart w:name="z129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виды страхования активов (указывается страховая сумма по договору страхования);</w:t>
      </w:r>
    </w:p>
    <w:bookmarkEnd w:id="199"/>
    <w:bookmarkStart w:name="z129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страхование сотрудников (указывается страховая сумма по договору страхования);</w:t>
      </w:r>
    </w:p>
    <w:bookmarkEnd w:id="200"/>
    <w:bookmarkStart w:name="z129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в залог имущества;</w:t>
      </w:r>
    </w:p>
    <w:bookmarkEnd w:id="201"/>
    <w:bookmarkStart w:name="z129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требования по внебалансовым счетам (вид операции указывается в графе 16);</w:t>
      </w:r>
    </w:p>
    <w:bookmarkEnd w:id="202"/>
    <w:bookmarkStart w:name="z129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(показатель):</w:t>
      </w:r>
    </w:p>
    <w:bookmarkEnd w:id="203"/>
    <w:bookmarkStart w:name="z130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комиссионного вознаграждения за услуги;</w:t>
      </w:r>
    </w:p>
    <w:bookmarkEnd w:id="204"/>
    <w:bookmarkStart w:name="z130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чистые расходы по производным финансовым инструментам</w:t>
      </w:r>
    </w:p>
    <w:bookmarkEnd w:id="205"/>
    <w:bookmarkStart w:name="z130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дилинговым операциям;</w:t>
      </w:r>
    </w:p>
    <w:bookmarkEnd w:id="206"/>
    <w:bookmarkStart w:name="z130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чистые расходы от переоценки;</w:t>
      </w:r>
    </w:p>
    <w:bookmarkEnd w:id="207"/>
    <w:bookmarkStart w:name="z130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дивидендов;</w:t>
      </w:r>
    </w:p>
    <w:bookmarkEnd w:id="208"/>
    <w:bookmarkStart w:name="z130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вознаграждения по обязательствам;</w:t>
      </w:r>
    </w:p>
    <w:bookmarkEnd w:id="209"/>
    <w:bookmarkStart w:name="z130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арендной платы за имущество;</w:t>
      </w:r>
    </w:p>
    <w:bookmarkEnd w:id="210"/>
    <w:bookmarkStart w:name="z130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страховой премии;</w:t>
      </w:r>
    </w:p>
    <w:bookmarkEnd w:id="211"/>
    <w:bookmarkStart w:name="z130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страховые выплаты;</w:t>
      </w:r>
    </w:p>
    <w:bookmarkEnd w:id="212"/>
    <w:bookmarkStart w:name="z130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штрафов, пени, неустоек и другие виды санкций;</w:t>
      </w:r>
    </w:p>
    <w:bookmarkEnd w:id="213"/>
    <w:bookmarkStart w:name="z131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виды расходов (вид операции указывается в графе 16).</w:t>
      </w:r>
    </w:p>
    <w:bookmarkEnd w:id="214"/>
    <w:bookmarkStart w:name="z131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7 указываются обороты по сделке - итог записей (увеличений или уменьшений) за отчетный квартал без начального сальдо (остатка).</w:t>
      </w:r>
    </w:p>
    <w:bookmarkEnd w:id="2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